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eastAsia="仿宋_GB2312"/>
          <w:sz w:val="32"/>
          <w:szCs w:val="32"/>
        </w:rPr>
      </w:pPr>
      <w:r>
        <w:rPr>
          <w:rFonts w:hint="eastAsia" w:eastAsia="仿宋_GB2312"/>
          <w:sz w:val="32"/>
          <w:szCs w:val="32"/>
        </w:rPr>
        <w:t>附件</w:t>
      </w:r>
      <w:r>
        <w:rPr>
          <w:rFonts w:eastAsia="仿宋_GB2312"/>
          <w:sz w:val="32"/>
          <w:szCs w:val="32"/>
        </w:rPr>
        <w:t>1</w:t>
      </w:r>
    </w:p>
    <w:p>
      <w:pPr>
        <w:spacing w:line="600" w:lineRule="exact"/>
        <w:jc w:val="center"/>
        <w:rPr>
          <w:b/>
          <w:sz w:val="36"/>
          <w:szCs w:val="36"/>
        </w:rPr>
      </w:pPr>
      <w:r>
        <w:rPr>
          <w:rFonts w:hint="eastAsia"/>
          <w:b/>
          <w:sz w:val="36"/>
          <w:szCs w:val="36"/>
        </w:rPr>
        <w:t>《中国保理发展报告（</w:t>
      </w:r>
      <w:r>
        <w:rPr>
          <w:b/>
          <w:sz w:val="36"/>
          <w:szCs w:val="36"/>
        </w:rPr>
        <w:t>2019-2020</w:t>
      </w:r>
      <w:r>
        <w:rPr>
          <w:rFonts w:hint="eastAsia"/>
          <w:b/>
          <w:sz w:val="36"/>
          <w:szCs w:val="36"/>
        </w:rPr>
        <w:t>）》内容摘要</w:t>
      </w:r>
    </w:p>
    <w:p>
      <w:pPr>
        <w:spacing w:line="600" w:lineRule="exact"/>
        <w:ind w:firstLine="640" w:firstLineChars="200"/>
        <w:rPr>
          <w:rFonts w:eastAsia="黑体"/>
          <w:color w:val="000000"/>
          <w:sz w:val="32"/>
          <w:szCs w:val="32"/>
        </w:rPr>
      </w:pPr>
    </w:p>
    <w:p>
      <w:pPr>
        <w:spacing w:line="580" w:lineRule="exact"/>
        <w:ind w:firstLine="640" w:firstLineChars="200"/>
        <w:rPr>
          <w:rFonts w:eastAsia="黑体"/>
          <w:color w:val="000000"/>
          <w:sz w:val="32"/>
          <w:szCs w:val="32"/>
        </w:rPr>
      </w:pPr>
      <w:r>
        <w:rPr>
          <w:rFonts w:hint="eastAsia" w:eastAsia="黑体"/>
          <w:color w:val="000000"/>
          <w:sz w:val="32"/>
          <w:szCs w:val="32"/>
        </w:rPr>
        <w:t>一、全球贸易受严重冲击，世界经济衰退风险大幅上升</w:t>
      </w:r>
    </w:p>
    <w:p>
      <w:pPr>
        <w:spacing w:line="580" w:lineRule="exact"/>
        <w:ind w:firstLine="640" w:firstLineChars="200"/>
        <w:rPr>
          <w:rFonts w:eastAsia="仿宋_GB2312"/>
          <w:color w:val="000000"/>
          <w:sz w:val="32"/>
          <w:szCs w:val="32"/>
        </w:rPr>
      </w:pPr>
      <w:r>
        <w:rPr>
          <w:rFonts w:eastAsia="仿宋_GB2312"/>
          <w:color w:val="000000"/>
          <w:sz w:val="32"/>
          <w:szCs w:val="32"/>
        </w:rPr>
        <w:t>2019</w:t>
      </w:r>
      <w:r>
        <w:rPr>
          <w:rFonts w:hint="eastAsia" w:eastAsia="仿宋_GB2312"/>
          <w:color w:val="000000"/>
          <w:sz w:val="32"/>
          <w:szCs w:val="32"/>
        </w:rPr>
        <w:t>年，受全球贸易紧张局势等影响，世界经济下行压力持续加大，全年世界经济增长</w:t>
      </w:r>
      <w:r>
        <w:rPr>
          <w:rFonts w:eastAsia="仿宋_GB2312"/>
          <w:color w:val="000000"/>
          <w:sz w:val="32"/>
          <w:szCs w:val="32"/>
        </w:rPr>
        <w:t>2.9%</w:t>
      </w:r>
      <w:r>
        <w:rPr>
          <w:rFonts w:hint="eastAsia" w:eastAsia="仿宋_GB2312"/>
          <w:color w:val="000000"/>
          <w:sz w:val="32"/>
          <w:szCs w:val="32"/>
        </w:rPr>
        <w:t>，为十年来最低水平。进入</w:t>
      </w:r>
      <w:r>
        <w:rPr>
          <w:rFonts w:eastAsia="仿宋_GB2312"/>
          <w:color w:val="000000"/>
          <w:sz w:val="32"/>
          <w:szCs w:val="32"/>
        </w:rPr>
        <w:t>2020</w:t>
      </w:r>
      <w:r>
        <w:rPr>
          <w:rFonts w:hint="eastAsia" w:eastAsia="仿宋_GB2312"/>
          <w:color w:val="000000"/>
          <w:sz w:val="32"/>
          <w:szCs w:val="32"/>
        </w:rPr>
        <w:t>年，随着新冠肺炎疫情快速蔓延，大量行业停摆、工厂停产，货物运输不畅，各国为应对疫情陆续采取了贸易限制性措施，服务贸易需求受损，全球贸易往来的活跃度大幅下降。疫情让原本就已低迷的世界贸易雪上加霜。</w:t>
      </w:r>
      <w:r>
        <w:rPr>
          <w:rFonts w:eastAsia="仿宋_GB2312"/>
          <w:color w:val="000000"/>
          <w:sz w:val="32"/>
          <w:szCs w:val="32"/>
        </w:rPr>
        <w:t>4</w:t>
      </w:r>
      <w:r>
        <w:rPr>
          <w:rFonts w:hint="eastAsia" w:eastAsia="仿宋_GB2312"/>
          <w:color w:val="000000"/>
          <w:sz w:val="32"/>
          <w:szCs w:val="32"/>
        </w:rPr>
        <w:t>月</w:t>
      </w:r>
      <w:r>
        <w:rPr>
          <w:rFonts w:eastAsia="仿宋_GB2312"/>
          <w:color w:val="000000"/>
          <w:sz w:val="32"/>
          <w:szCs w:val="32"/>
        </w:rPr>
        <w:t>8</w:t>
      </w:r>
      <w:r>
        <w:rPr>
          <w:rFonts w:hint="eastAsia" w:eastAsia="仿宋_GB2312"/>
          <w:color w:val="000000"/>
          <w:sz w:val="32"/>
          <w:szCs w:val="32"/>
        </w:rPr>
        <w:t>日</w:t>
      </w:r>
      <w:r>
        <w:rPr>
          <w:rFonts w:eastAsia="仿宋_GB2312"/>
          <w:color w:val="000000"/>
          <w:sz w:val="32"/>
          <w:szCs w:val="32"/>
        </w:rPr>
        <w:t>WTO</w:t>
      </w:r>
      <w:r>
        <w:rPr>
          <w:rFonts w:hint="eastAsia" w:eastAsia="仿宋_GB2312"/>
          <w:color w:val="000000"/>
          <w:sz w:val="32"/>
          <w:szCs w:val="32"/>
        </w:rPr>
        <w:t>发布预测，</w:t>
      </w:r>
      <w:r>
        <w:rPr>
          <w:rFonts w:eastAsia="仿宋_GB2312"/>
          <w:color w:val="000000"/>
          <w:sz w:val="32"/>
          <w:szCs w:val="32"/>
        </w:rPr>
        <w:t>2020</w:t>
      </w:r>
      <w:r>
        <w:rPr>
          <w:rFonts w:hint="eastAsia" w:eastAsia="仿宋_GB2312"/>
          <w:color w:val="000000"/>
          <w:sz w:val="32"/>
          <w:szCs w:val="32"/>
        </w:rPr>
        <w:t>年全球货物贸易将下跌</w:t>
      </w:r>
      <w:r>
        <w:rPr>
          <w:rFonts w:eastAsia="仿宋_GB2312"/>
          <w:color w:val="000000"/>
          <w:sz w:val="32"/>
          <w:szCs w:val="32"/>
        </w:rPr>
        <w:t>13%</w:t>
      </w:r>
      <w:r>
        <w:rPr>
          <w:rFonts w:hint="eastAsia" w:eastAsia="仿宋_GB2312"/>
          <w:color w:val="000000"/>
          <w:sz w:val="32"/>
          <w:szCs w:val="32"/>
        </w:rPr>
        <w:t>至</w:t>
      </w:r>
      <w:r>
        <w:rPr>
          <w:rFonts w:eastAsia="仿宋_GB2312"/>
          <w:color w:val="000000"/>
          <w:sz w:val="32"/>
          <w:szCs w:val="32"/>
        </w:rPr>
        <w:t>32%</w:t>
      </w:r>
      <w:r>
        <w:rPr>
          <w:rFonts w:hint="eastAsia" w:eastAsia="仿宋_GB2312"/>
          <w:color w:val="000000"/>
          <w:sz w:val="32"/>
          <w:szCs w:val="32"/>
        </w:rPr>
        <w:t>。</w:t>
      </w:r>
      <w:r>
        <w:rPr>
          <w:rFonts w:eastAsia="仿宋_GB2312"/>
          <w:color w:val="000000"/>
          <w:sz w:val="32"/>
          <w:szCs w:val="32"/>
        </w:rPr>
        <w:t>WTO</w:t>
      </w:r>
      <w:r>
        <w:rPr>
          <w:rFonts w:hint="eastAsia" w:eastAsia="仿宋_GB2312"/>
          <w:color w:val="000000"/>
          <w:sz w:val="32"/>
          <w:szCs w:val="32"/>
        </w:rPr>
        <w:t>认为，</w:t>
      </w:r>
      <w:r>
        <w:rPr>
          <w:rFonts w:eastAsia="仿宋_GB2312"/>
          <w:color w:val="000000"/>
          <w:sz w:val="32"/>
          <w:szCs w:val="32"/>
        </w:rPr>
        <w:t>2020</w:t>
      </w:r>
      <w:r>
        <w:rPr>
          <w:rFonts w:hint="eastAsia" w:eastAsia="仿宋_GB2312"/>
          <w:color w:val="000000"/>
          <w:sz w:val="32"/>
          <w:szCs w:val="32"/>
        </w:rPr>
        <w:t>年基本上全球所有地区的贸易量都将出现两位数下降，北美和亚洲地区出口受损尤甚，全球电子产业、汽车制造产业和服务贸易受到的打击更为严重。</w:t>
      </w:r>
      <w:r>
        <w:rPr>
          <w:rFonts w:eastAsia="仿宋_GB2312"/>
          <w:color w:val="000000"/>
          <w:sz w:val="32"/>
          <w:szCs w:val="32"/>
        </w:rPr>
        <w:t>2021</w:t>
      </w:r>
      <w:r>
        <w:rPr>
          <w:rFonts w:hint="eastAsia" w:eastAsia="仿宋_GB2312"/>
          <w:color w:val="000000"/>
          <w:sz w:val="32"/>
          <w:szCs w:val="32"/>
        </w:rPr>
        <w:t>年全球贸易有可能实现复苏，但仍存在着不确定性，最终表现在很大程度上取决于疫情持续时间和各国抗疫政策的有效性。</w:t>
      </w:r>
    </w:p>
    <w:p>
      <w:pPr>
        <w:spacing w:line="58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二、银行保理量仍未止跌，中资银行仍引领市场</w:t>
      </w:r>
    </w:p>
    <w:p>
      <w:pPr>
        <w:spacing w:line="580" w:lineRule="exact"/>
        <w:ind w:firstLine="640" w:firstLineChars="200"/>
        <w:rPr>
          <w:rFonts w:eastAsia="仿宋_GB2312"/>
          <w:color w:val="000000"/>
          <w:sz w:val="32"/>
          <w:szCs w:val="32"/>
        </w:rPr>
      </w:pPr>
      <w:r>
        <w:rPr>
          <w:rFonts w:eastAsia="仿宋_GB2312"/>
          <w:color w:val="000000"/>
          <w:sz w:val="32"/>
          <w:szCs w:val="32"/>
        </w:rPr>
        <w:t>2019-2020</w:t>
      </w:r>
      <w:r>
        <w:rPr>
          <w:rFonts w:hint="eastAsia" w:eastAsia="仿宋_GB2312"/>
          <w:color w:val="000000"/>
          <w:sz w:val="32"/>
          <w:szCs w:val="32"/>
        </w:rPr>
        <w:t>年，面对全球贸易局势紧张、新冠疫情蔓延、金融局势动荡以及地缘政治局势趋紧等内外部因素及市场不确定性的增加，中国银行业的保理业务在困难中前行。继</w:t>
      </w:r>
      <w:r>
        <w:rPr>
          <w:rFonts w:eastAsia="仿宋_GB2312"/>
          <w:color w:val="000000"/>
          <w:sz w:val="32"/>
          <w:szCs w:val="32"/>
        </w:rPr>
        <w:t>2018</w:t>
      </w:r>
      <w:r>
        <w:rPr>
          <w:rFonts w:hint="eastAsia" w:eastAsia="仿宋_GB2312"/>
          <w:color w:val="000000"/>
          <w:sz w:val="32"/>
          <w:szCs w:val="32"/>
        </w:rPr>
        <w:t>年中国银行保理业务量小幅下降后，</w:t>
      </w:r>
      <w:r>
        <w:rPr>
          <w:rFonts w:eastAsia="仿宋_GB2312"/>
          <w:color w:val="000000"/>
          <w:sz w:val="32"/>
          <w:szCs w:val="32"/>
        </w:rPr>
        <w:t>2019</w:t>
      </w:r>
      <w:r>
        <w:rPr>
          <w:rFonts w:hint="eastAsia" w:eastAsia="仿宋_GB2312"/>
          <w:color w:val="000000"/>
          <w:sz w:val="32"/>
          <w:szCs w:val="32"/>
        </w:rPr>
        <w:t>年中国银行业保理业务量仍是负增长，尤其国际保理业务量依旧下降明显。据统计数据显示，</w:t>
      </w:r>
      <w:r>
        <w:rPr>
          <w:rFonts w:eastAsia="仿宋_GB2312"/>
          <w:color w:val="000000"/>
          <w:sz w:val="32"/>
          <w:szCs w:val="32"/>
        </w:rPr>
        <w:t>2019</w:t>
      </w:r>
      <w:r>
        <w:rPr>
          <w:rFonts w:hint="eastAsia" w:eastAsia="仿宋_GB2312"/>
          <w:color w:val="000000"/>
          <w:sz w:val="32"/>
          <w:szCs w:val="32"/>
        </w:rPr>
        <w:t>年保理专业委员会全体成员单位保理业务量</w:t>
      </w:r>
      <w:r>
        <w:rPr>
          <w:rFonts w:eastAsia="仿宋_GB2312"/>
          <w:color w:val="000000"/>
          <w:sz w:val="32"/>
          <w:szCs w:val="32"/>
        </w:rPr>
        <w:t>1.75</w:t>
      </w:r>
      <w:r>
        <w:rPr>
          <w:rFonts w:hint="eastAsia" w:eastAsia="仿宋_GB2312"/>
          <w:color w:val="000000"/>
          <w:sz w:val="32"/>
          <w:szCs w:val="32"/>
        </w:rPr>
        <w:t>万亿元人民币，同比下降</w:t>
      </w:r>
      <w:r>
        <w:rPr>
          <w:rFonts w:eastAsia="仿宋_GB2312"/>
          <w:color w:val="000000"/>
          <w:sz w:val="32"/>
          <w:szCs w:val="32"/>
        </w:rPr>
        <w:t>8.85%</w:t>
      </w:r>
      <w:r>
        <w:rPr>
          <w:rFonts w:hint="eastAsia" w:eastAsia="仿宋_GB2312"/>
          <w:color w:val="000000"/>
          <w:sz w:val="32"/>
          <w:szCs w:val="32"/>
        </w:rPr>
        <w:t>。其中国际保理业务量</w:t>
      </w:r>
      <w:r>
        <w:rPr>
          <w:rFonts w:eastAsia="仿宋_GB2312"/>
          <w:color w:val="000000"/>
          <w:sz w:val="32"/>
          <w:szCs w:val="32"/>
        </w:rPr>
        <w:t>264.76</w:t>
      </w:r>
      <w:r>
        <w:rPr>
          <w:rFonts w:hint="eastAsia" w:eastAsia="仿宋_GB2312"/>
          <w:color w:val="000000"/>
          <w:sz w:val="32"/>
          <w:szCs w:val="32"/>
        </w:rPr>
        <w:t>亿美元，同比下降</w:t>
      </w:r>
      <w:r>
        <w:rPr>
          <w:rFonts w:eastAsia="仿宋_GB2312"/>
          <w:color w:val="000000"/>
          <w:sz w:val="32"/>
          <w:szCs w:val="32"/>
        </w:rPr>
        <w:t>25.30%</w:t>
      </w:r>
      <w:r>
        <w:rPr>
          <w:rFonts w:hint="eastAsia" w:eastAsia="仿宋_GB2312"/>
          <w:color w:val="000000"/>
          <w:sz w:val="32"/>
          <w:szCs w:val="32"/>
        </w:rPr>
        <w:t>，降幅较前一年有所收窄；国内保理业务量</w:t>
      </w:r>
      <w:r>
        <w:rPr>
          <w:rFonts w:eastAsia="仿宋_GB2312"/>
          <w:color w:val="000000"/>
          <w:sz w:val="32"/>
          <w:szCs w:val="32"/>
        </w:rPr>
        <w:t>1.56</w:t>
      </w:r>
      <w:r>
        <w:rPr>
          <w:rFonts w:hint="eastAsia" w:eastAsia="仿宋_GB2312"/>
          <w:color w:val="000000"/>
          <w:sz w:val="32"/>
          <w:szCs w:val="32"/>
        </w:rPr>
        <w:t>万亿元人民币，同比下降</w:t>
      </w:r>
      <w:r>
        <w:rPr>
          <w:rFonts w:eastAsia="仿宋_GB2312"/>
          <w:color w:val="000000"/>
          <w:sz w:val="32"/>
          <w:szCs w:val="32"/>
        </w:rPr>
        <w:t>7.14%</w:t>
      </w:r>
      <w:r>
        <w:rPr>
          <w:rFonts w:hint="eastAsia" w:eastAsia="仿宋_GB2312"/>
          <w:color w:val="000000"/>
          <w:sz w:val="32"/>
          <w:szCs w:val="32"/>
        </w:rPr>
        <w:t>。</w:t>
      </w:r>
    </w:p>
    <w:p>
      <w:pPr>
        <w:spacing w:line="580" w:lineRule="exact"/>
        <w:ind w:firstLine="640" w:firstLineChars="200"/>
        <w:rPr>
          <w:rFonts w:eastAsia="黑体"/>
          <w:color w:val="000000"/>
          <w:sz w:val="32"/>
          <w:szCs w:val="32"/>
        </w:rPr>
      </w:pPr>
      <w:r>
        <w:rPr>
          <w:rFonts w:hint="eastAsia" w:eastAsia="黑体"/>
          <w:color w:val="000000"/>
          <w:sz w:val="32"/>
          <w:szCs w:val="32"/>
        </w:rPr>
        <w:t>三、相关规定持续出台，促进保理业务规范、健康发展</w:t>
      </w:r>
    </w:p>
    <w:p>
      <w:pPr>
        <w:spacing w:line="580" w:lineRule="exact"/>
        <w:ind w:firstLine="640" w:firstLineChars="200"/>
        <w:rPr>
          <w:rFonts w:eastAsia="仿宋_GB2312"/>
          <w:color w:val="000000"/>
          <w:sz w:val="32"/>
          <w:szCs w:val="32"/>
        </w:rPr>
      </w:pPr>
      <w:r>
        <w:rPr>
          <w:rFonts w:hint="eastAsia" w:eastAsia="仿宋_GB2312"/>
          <w:color w:val="000000"/>
          <w:sz w:val="32"/>
          <w:szCs w:val="32"/>
        </w:rPr>
        <w:t>面对世界经济衰退和疫情带来的不利影响，我国提出了以扩大内需作为主要目标的积极财政政策。</w:t>
      </w:r>
      <w:r>
        <w:rPr>
          <w:rFonts w:eastAsia="仿宋_GB2312"/>
          <w:color w:val="000000"/>
          <w:sz w:val="32"/>
          <w:szCs w:val="32"/>
        </w:rPr>
        <w:t>2019-2020</w:t>
      </w:r>
      <w:r>
        <w:rPr>
          <w:rFonts w:hint="eastAsia" w:eastAsia="仿宋_GB2312"/>
          <w:color w:val="000000"/>
          <w:sz w:val="32"/>
          <w:szCs w:val="32"/>
        </w:rPr>
        <w:t>年，中共中央、国务院及监管部门相继出台了一系列以优化金融服务体系、完善融资服务信息平台并加大金融政策支持力度为目标的法令和法规。《中华人民共和国民法典》保理合同专章、《关于营造更好发展环境支持民营企业改革发展的意见》</w:t>
      </w:r>
      <w:r>
        <w:rPr>
          <w:rFonts w:eastAsia="仿宋_GB2312"/>
          <w:color w:val="000000"/>
          <w:sz w:val="32"/>
          <w:szCs w:val="32"/>
        </w:rPr>
        <w:t>(</w:t>
      </w:r>
      <w:r>
        <w:rPr>
          <w:rFonts w:hint="eastAsia" w:eastAsia="仿宋_GB2312"/>
          <w:color w:val="000000"/>
          <w:sz w:val="32"/>
          <w:szCs w:val="32"/>
        </w:rPr>
        <w:t>中发</w:t>
      </w:r>
      <w:r>
        <w:rPr>
          <w:rFonts w:eastAsia="仿宋_GB2312"/>
          <w:color w:val="000000"/>
          <w:sz w:val="32"/>
          <w:szCs w:val="32"/>
        </w:rPr>
        <w:t xml:space="preserve"> </w:t>
      </w:r>
      <w:r>
        <w:rPr>
          <w:rFonts w:hint="eastAsia" w:eastAsia="仿宋_GB2312"/>
          <w:color w:val="000000"/>
          <w:sz w:val="32"/>
          <w:szCs w:val="32"/>
        </w:rPr>
        <w:t>〔</w:t>
      </w:r>
      <w:r>
        <w:rPr>
          <w:rFonts w:eastAsia="仿宋_GB2312"/>
          <w:color w:val="000000"/>
          <w:sz w:val="32"/>
          <w:szCs w:val="32"/>
        </w:rPr>
        <w:t>2019</w:t>
      </w:r>
      <w:r>
        <w:rPr>
          <w:rFonts w:hint="eastAsia" w:eastAsia="仿宋_GB2312"/>
          <w:color w:val="000000"/>
          <w:sz w:val="32"/>
          <w:szCs w:val="32"/>
        </w:rPr>
        <w:t>〕</w:t>
      </w:r>
      <w:r>
        <w:rPr>
          <w:rFonts w:eastAsia="仿宋_GB2312"/>
          <w:color w:val="000000"/>
          <w:sz w:val="32"/>
          <w:szCs w:val="32"/>
        </w:rPr>
        <w:t>49</w:t>
      </w:r>
      <w:r>
        <w:rPr>
          <w:rFonts w:hint="eastAsia" w:eastAsia="仿宋_GB2312"/>
          <w:color w:val="000000"/>
          <w:sz w:val="32"/>
          <w:szCs w:val="32"/>
        </w:rPr>
        <w:t>号</w:t>
      </w:r>
      <w:r>
        <w:rPr>
          <w:rFonts w:eastAsia="仿宋_GB2312"/>
          <w:color w:val="000000"/>
          <w:sz w:val="32"/>
          <w:szCs w:val="32"/>
        </w:rPr>
        <w:t>)</w:t>
      </w:r>
      <w:r>
        <w:rPr>
          <w:rFonts w:hint="eastAsia" w:eastAsia="仿宋_GB2312"/>
          <w:color w:val="000000"/>
          <w:sz w:val="32"/>
          <w:szCs w:val="32"/>
        </w:rPr>
        <w:t>、银保监会《关于加强商业保理企业监督管理的通知》（银保监会〔</w:t>
      </w:r>
      <w:r>
        <w:rPr>
          <w:rFonts w:eastAsia="仿宋_GB2312"/>
          <w:color w:val="000000"/>
          <w:sz w:val="32"/>
          <w:szCs w:val="32"/>
        </w:rPr>
        <w:t>2019</w:t>
      </w:r>
      <w:r>
        <w:rPr>
          <w:rFonts w:hint="eastAsia" w:eastAsia="仿宋_GB2312"/>
          <w:color w:val="000000"/>
          <w:sz w:val="32"/>
          <w:szCs w:val="32"/>
        </w:rPr>
        <w:t>〕</w:t>
      </w:r>
      <w:r>
        <w:rPr>
          <w:rFonts w:eastAsia="仿宋_GB2312"/>
          <w:color w:val="000000"/>
          <w:sz w:val="32"/>
          <w:szCs w:val="32"/>
        </w:rPr>
        <w:t>205</w:t>
      </w:r>
      <w:r>
        <w:rPr>
          <w:rFonts w:hint="eastAsia" w:eastAsia="仿宋_GB2312"/>
          <w:color w:val="000000"/>
          <w:sz w:val="32"/>
          <w:szCs w:val="32"/>
        </w:rPr>
        <w:t>号）、《应收账款登记质押管理办法》（中国人民银行令〔</w:t>
      </w:r>
      <w:r>
        <w:rPr>
          <w:rFonts w:eastAsia="仿宋_GB2312"/>
          <w:color w:val="000000"/>
          <w:sz w:val="32"/>
          <w:szCs w:val="32"/>
        </w:rPr>
        <w:t>2019</w:t>
      </w:r>
      <w:r>
        <w:rPr>
          <w:rFonts w:hint="eastAsia" w:eastAsia="仿宋_GB2312"/>
          <w:color w:val="000000"/>
          <w:sz w:val="32"/>
          <w:szCs w:val="32"/>
        </w:rPr>
        <w:t>〕第</w:t>
      </w:r>
      <w:r>
        <w:rPr>
          <w:rFonts w:eastAsia="仿宋_GB2312"/>
          <w:color w:val="000000"/>
          <w:sz w:val="32"/>
          <w:szCs w:val="32"/>
        </w:rPr>
        <w:t>4</w:t>
      </w:r>
      <w:r>
        <w:rPr>
          <w:rFonts w:hint="eastAsia" w:eastAsia="仿宋_GB2312"/>
          <w:color w:val="000000"/>
          <w:sz w:val="32"/>
          <w:szCs w:val="32"/>
        </w:rPr>
        <w:t>号）等这些法令和法规的颁布和实施，客观上有力地推动和促进了保理业务操作朝标准化、规范化发展，进一步完善了应收账款风险防控体系，为保理业务的健康发展创造了良好的环境。</w:t>
      </w:r>
    </w:p>
    <w:p>
      <w:pPr>
        <w:spacing w:line="580" w:lineRule="exact"/>
        <w:ind w:firstLine="640" w:firstLineChars="200"/>
        <w:rPr>
          <w:rFonts w:eastAsia="黑体"/>
          <w:color w:val="000000"/>
          <w:sz w:val="32"/>
          <w:szCs w:val="32"/>
        </w:rPr>
      </w:pPr>
      <w:r>
        <w:rPr>
          <w:rFonts w:hint="eastAsia" w:eastAsia="黑体"/>
          <w:color w:val="000000"/>
          <w:sz w:val="32"/>
          <w:szCs w:val="32"/>
        </w:rPr>
        <w:t>四、金融科技应用升级，产品创新延展稳步推进</w:t>
      </w:r>
    </w:p>
    <w:p>
      <w:pPr>
        <w:spacing w:line="580" w:lineRule="exact"/>
        <w:ind w:firstLine="640" w:firstLineChars="200"/>
        <w:rPr>
          <w:rFonts w:eastAsia="仿宋_GB2312"/>
          <w:color w:val="000000"/>
          <w:sz w:val="32"/>
          <w:szCs w:val="32"/>
        </w:rPr>
      </w:pPr>
      <w:r>
        <w:rPr>
          <w:rFonts w:hint="eastAsia" w:eastAsia="仿宋_GB2312"/>
          <w:color w:val="000000"/>
          <w:sz w:val="32"/>
          <w:szCs w:val="32"/>
        </w:rPr>
        <w:t>近年来，随着</w:t>
      </w:r>
      <w:r>
        <w:rPr>
          <w:rFonts w:eastAsia="仿宋_GB2312"/>
          <w:color w:val="000000"/>
          <w:sz w:val="32"/>
          <w:szCs w:val="32"/>
        </w:rPr>
        <w:t>“</w:t>
      </w:r>
      <w:r>
        <w:rPr>
          <w:rFonts w:hint="eastAsia" w:eastAsia="仿宋_GB2312"/>
          <w:color w:val="000000"/>
          <w:sz w:val="32"/>
          <w:szCs w:val="32"/>
        </w:rPr>
        <w:t>互联网</w:t>
      </w:r>
      <w:r>
        <w:rPr>
          <w:rFonts w:eastAsia="仿宋_GB2312"/>
          <w:color w:val="000000"/>
          <w:sz w:val="32"/>
          <w:szCs w:val="32"/>
        </w:rPr>
        <w:t>+”</w:t>
      </w:r>
      <w:r>
        <w:rPr>
          <w:rFonts w:hint="eastAsia" w:eastAsia="仿宋_GB2312"/>
          <w:color w:val="000000"/>
          <w:sz w:val="32"/>
          <w:szCs w:val="32"/>
        </w:rPr>
        <w:t>和金融科技的发展，保理走上了线上化、智能化、便捷化的创新发展之路。各商业银行通过区块链、大数据等新兴科技整合供应链资金流、物流、商流和信息流，利用金融科技手段提升业务操作便利性和工作效率。同时，保理产品创新进入了稳步发展阶段，如何根据市场和客户需求做好已有产品的创新延展显得尤为重要。保理资产证券化和再保理以现有产品为基础，通过模式创新不断发展，产品投放量和延展度得到有效提升；云链保理通过利用供应链金融平台，充分发挥核心企业作用，为供应链上下游客户提供融资便利。</w:t>
      </w:r>
    </w:p>
    <w:p>
      <w:pPr>
        <w:spacing w:line="580" w:lineRule="exact"/>
        <w:ind w:firstLine="640" w:firstLineChars="200"/>
        <w:rPr>
          <w:rFonts w:eastAsia="黑体"/>
          <w:color w:val="000000"/>
          <w:sz w:val="32"/>
          <w:szCs w:val="32"/>
        </w:rPr>
      </w:pPr>
      <w:r>
        <w:rPr>
          <w:rFonts w:hint="eastAsia" w:eastAsia="黑体"/>
          <w:color w:val="000000"/>
          <w:sz w:val="32"/>
          <w:szCs w:val="32"/>
        </w:rPr>
        <w:t>五、聚焦服务实体经济，把握发展新机遇</w:t>
      </w:r>
    </w:p>
    <w:p>
      <w:pPr>
        <w:spacing w:line="580" w:lineRule="exact"/>
        <w:ind w:firstLine="640" w:firstLineChars="200"/>
        <w:rPr>
          <w:rFonts w:eastAsia="仿宋_GB2312"/>
          <w:sz w:val="32"/>
          <w:szCs w:val="32"/>
        </w:rPr>
      </w:pPr>
      <w:r>
        <w:rPr>
          <w:rFonts w:hint="eastAsia" w:eastAsia="仿宋_GB2312"/>
          <w:color w:val="000000"/>
          <w:sz w:val="32"/>
          <w:szCs w:val="32"/>
        </w:rPr>
        <w:t>我国拥有规模巨大的保理业务需求，有待商业银行去拓展和渗透</w:t>
      </w:r>
      <w:r>
        <w:rPr>
          <w:rFonts w:hint="eastAsia" w:eastAsia="仿宋_GB2312"/>
          <w:sz w:val="32"/>
          <w:szCs w:val="32"/>
        </w:rPr>
        <w:t>。特别是在今年新冠疫情全球暴发、国际贸易形势错综复杂、国内经济增长放缓的背景下，党中央、国务院以及监管机构发布一系列政策指导商业银行积极支持企业复工复产、畅通产业链资金链条，促进国际、国内经济的双循环，为商业银行拓展保理融资提供了新机遇。</w:t>
      </w:r>
    </w:p>
    <w:p>
      <w:pPr>
        <w:spacing w:line="600" w:lineRule="exact"/>
        <w:jc w:val="center"/>
        <w:rPr>
          <w:rFonts w:eastAsia="仿宋_GB2312"/>
          <w:sz w:val="32"/>
          <w:szCs w:val="32"/>
        </w:rPr>
      </w:pPr>
    </w:p>
    <w:p>
      <w:pPr>
        <w:pStyle w:val="5"/>
        <w:ind w:left="0" w:leftChars="0" w:firstLine="0" w:firstLineChars="0"/>
        <w:jc w:val="both"/>
        <w:rPr>
          <w:rFonts w:ascii="Times New Roman" w:hAnsi="Times New Roman"/>
        </w:rPr>
      </w:pPr>
      <w:bookmarkStart w:id="0" w:name="_GoBack"/>
      <w:bookmarkEnd w:id="0"/>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tyle>
  <w:style w:type="paragraph" w:styleId="2">
    <w:name w:val="批注框文本"/>
    <w:basedOn w:val="1"/>
    <w:link w:val="3"/>
    <w:rPr>
      <w:rFonts w:ascii="Times New Roman" w:hAnsi="Times New Roman" w:eastAsia="宋体" w:cs="Times New Roman"/>
      <w:sz w:val="18"/>
      <w:szCs w:val="18"/>
    </w:rPr>
  </w:style>
  <w:style w:type="character" w:customStyle="1" w:styleId="3">
    <w:name w:val="批注框文本 Char"/>
    <w:basedOn w:val="4"/>
    <w:link w:val="2"/>
    <w:semiHidden/>
    <w:rPr>
      <w:rFonts w:ascii="Times New Roman" w:hAnsi="Times New Roman" w:eastAsia="宋体" w:cs="Times New Roman"/>
      <w:sz w:val="18"/>
      <w:szCs w:val="18"/>
    </w:rPr>
  </w:style>
  <w:style w:type="paragraph" w:customStyle="1" w:styleId="5">
    <w:name w:val="List Paragraph"/>
    <w:basedOn w:val="1"/>
    <w:link w:val="6"/>
    <w:pPr>
      <w:ind w:firstLine="420" w:firstLineChars="200"/>
    </w:pPr>
    <w:rPr>
      <w:rFonts w:ascii="Calibri" w:hAnsi="Calibri"/>
    </w:rPr>
  </w:style>
  <w:style w:type="character" w:customStyle="1" w:styleId="6">
    <w:name w:val="列出段落 Char"/>
    <w:link w:val="5"/>
    <w:semiHidden/>
    <w:rPr>
      <w:rFonts w:ascii="Calibri" w:hAnsi="Calibri"/>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363</Words>
  <Characters>2070</Characters>
  <Lines>17</Lines>
  <Paragraphs>4</Paragraphs>
  <TotalTime>0</TotalTime>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2020-12-03T11:34:00Z</dcterms:created>
  <dc:creator>王琛瑶</dc:creator>
  <dcterms:modified xsi:type="dcterms:W3CDTF">2020-12-07T14:28:28Z</dcterms:modified>
  <dc:title>王琛瑶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