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《系统重要性银行附加监管规定（试行）（征求意见稿）》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0" w:firstLineChars="200"/>
        <w:textAlignment w:val="auto"/>
        <w:outlineLvl w:val="9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根据《关于完善系统重要性金融机构监管的指导意见》（银发〔2018〕301号，以下简称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《指导意见》），人民银行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银保监会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与《系统重要性银行评估办法》（以下简称《评估办法》）相配套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有关规定。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我们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借鉴国际</w:t>
      </w:r>
      <w:r>
        <w:rPr>
          <w:rFonts w:ascii="Times New Roman" w:hAnsi="Times New Roman" w:eastAsia="仿宋_GB2312" w:cs="Times New Roman"/>
          <w:sz w:val="32"/>
          <w:szCs w:val="32"/>
        </w:rPr>
        <w:t>惯例，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同时</w:t>
      </w:r>
      <w:r>
        <w:rPr>
          <w:rFonts w:ascii="Times New Roman" w:hAnsi="Times New Roman" w:eastAsia="仿宋_GB2312" w:cs="Times New Roman"/>
          <w:sz w:val="32"/>
          <w:szCs w:val="32"/>
        </w:rPr>
        <w:t>结合我国银行业实际，起草了《系统重要性银行附加监管规定（试行）（征求意见稿）》（以下简称《附加监管规定》）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明确系统重要性银行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附加监管要求。现将有关情况说明如下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一、制定《附加监管规定》的必要性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（一）落实“三定”方案和《指导意见》要求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2019年2月，中共中央办公厅、国务院办公厅联合发布《中国人民银行职能配置、内设机构和人员编制规定》，明确人民银行牵头系统重要性金融机构基本规则拟订、监测分析、并表监管，建立系统重要性金融机构识别、监管和处置机制。人民银行与银保监会、证监会联合发布的《指导意见》已经对我国系统重要性金融机构的评估识别、附加监管和恢复与处置作出了总体的制度性安排，需要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制定</w:t>
      </w:r>
      <w:r>
        <w:rPr>
          <w:rFonts w:ascii="Times New Roman" w:hAnsi="Times New Roman" w:eastAsia="仿宋_GB2312" w:cs="Times New Roman"/>
          <w:sz w:val="32"/>
          <w:szCs w:val="32"/>
        </w:rPr>
        <w:t>配套实施细则，推动相关工作的落实。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（二）建立系统重要性银行附加监管的一般性框架。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系统重要性银行评估与监管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sz w:val="32"/>
          <w:szCs w:val="32"/>
        </w:rPr>
        <w:t>包括发布评估办法、出台附加监管规定、确定系统重要性银行名单及差异化监管方案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工作。《附加监管规定》是系统重要性银行监管的一般性框架，既考虑了系统重要性银行监管的国际惯例，也结合了我国银行业的特点和实际监管需要，为确定不同组别和类型系统重要性银行的具体监管方案奠定基础。2020年12月，《评估办法》已由人民银行、银保监会联合发布。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平稳</w:t>
      </w:r>
      <w:r>
        <w:rPr>
          <w:rFonts w:ascii="Times New Roman" w:hAnsi="Times New Roman" w:eastAsia="仿宋_GB2312" w:cs="Times New Roman"/>
          <w:sz w:val="32"/>
          <w:szCs w:val="32"/>
        </w:rPr>
        <w:t>启动系统重要性银行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名单</w:t>
      </w:r>
      <w:r>
        <w:rPr>
          <w:rFonts w:ascii="Times New Roman" w:hAnsi="Times New Roman" w:eastAsia="仿宋_GB2312" w:cs="Times New Roman"/>
          <w:sz w:val="32"/>
          <w:szCs w:val="32"/>
        </w:rPr>
        <w:t>评估与后续监管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，需要尽快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出台</w:t>
      </w:r>
      <w:r>
        <w:rPr>
          <w:rFonts w:ascii="Times New Roman" w:hAnsi="Times New Roman" w:eastAsia="仿宋_GB2312" w:cs="Times New Roman"/>
          <w:sz w:val="32"/>
          <w:szCs w:val="32"/>
        </w:rPr>
        <w:t>《附加监管规定》。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二、《附加监管规定》主要内容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《附加监管规定》分为总则、附加监管要求、恢复与处置计划、审慎监管、附则等五章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，共二十二条</w:t>
      </w:r>
      <w:r>
        <w:rPr>
          <w:rFonts w:ascii="Times New Roman" w:hAnsi="Times New Roman" w:eastAsia="仿宋_GB2312" w:cs="Times New Roman"/>
          <w:sz w:val="32"/>
          <w:szCs w:val="32"/>
        </w:rPr>
        <w:t>。主要内容如下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（一）明确立法目的和工作机制。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</w:t>
      </w:r>
      <w:r>
        <w:rPr>
          <w:rFonts w:ascii="Times New Roman" w:hAnsi="Times New Roman" w:eastAsia="仿宋_GB2312" w:cs="Times New Roman"/>
          <w:sz w:val="32"/>
          <w:szCs w:val="32"/>
        </w:rPr>
        <w:t>系统重要性银行附加监管要求，加强宏观审慎管理。人民银行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</w:rPr>
        <w:t>系统重要性银行基本规则制定、监测分析、并表监管，会同银保监会提出附加监管要求，牵头银保监会等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组建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危机管理</w:t>
      </w:r>
      <w:r>
        <w:rPr>
          <w:rFonts w:ascii="Times New Roman" w:hAnsi="Times New Roman" w:eastAsia="仿宋_GB2312" w:cs="Times New Roman"/>
          <w:sz w:val="32"/>
          <w:szCs w:val="32"/>
        </w:rPr>
        <w:t>小组，组织审查系统重要性银行恢复与处置计划，开展可处置性评估。附加监管不取代银保监会的日常监管职责。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（二）明确附加监管要求</w:t>
      </w:r>
      <w:r>
        <w:rPr>
          <w:rFonts w:ascii="Times New Roman" w:hAnsi="Times New Roman" w:eastAsia="仿宋_GB2312" w:cs="Times New Roman"/>
          <w:sz w:val="32"/>
          <w:szCs w:val="32"/>
        </w:rPr>
        <w:t>。借鉴国际经验，建立附加资本、附加杠杆率、流动性、大额风险暴露等附加监管指标体系。为鼓励银行降低系统性风险，避免引发道德风险，系统重要性银行第一组到第五组的银行分别适用0.25%、0.5%、0.75%、1%和1.5%的附加资本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系统重要性银行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在进入名单或者得分变化导致组别上升后，经过一个完整自然年度后的1月1日满足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除第五组</w:t>
      </w:r>
      <w:r>
        <w:rPr>
          <w:rFonts w:ascii="Times New Roman" w:hAnsi="Times New Roman" w:eastAsia="仿宋_GB2312" w:cs="Times New Roman"/>
          <w:sz w:val="32"/>
          <w:szCs w:val="32"/>
        </w:rPr>
        <w:t>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第一组</w:t>
      </w:r>
      <w:r>
        <w:rPr>
          <w:rFonts w:ascii="Times New Roman" w:hAnsi="Times New Roman" w:eastAsia="仿宋_GB2312" w:cs="Times New Roman"/>
          <w:sz w:val="32"/>
          <w:szCs w:val="32"/>
        </w:rPr>
        <w:t>到第四组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组间的</w:t>
      </w:r>
      <w:r>
        <w:rPr>
          <w:rFonts w:ascii="Times New Roman" w:hAnsi="Times New Roman" w:eastAsia="仿宋_GB2312" w:cs="Times New Roman"/>
          <w:sz w:val="32"/>
          <w:szCs w:val="32"/>
        </w:rPr>
        <w:t>附加资本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仅差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0.25</w:t>
      </w:r>
      <w:r>
        <w:rPr>
          <w:rFonts w:ascii="Times New Roman" w:hAnsi="Times New Roman" w:eastAsia="仿宋_GB2312" w:cs="Times New Roman"/>
          <w:sz w:val="32"/>
          <w:szCs w:val="32"/>
        </w:rPr>
        <w:t>%，组内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暂不</w:t>
      </w:r>
      <w:r>
        <w:rPr>
          <w:rFonts w:ascii="Times New Roman" w:hAnsi="Times New Roman" w:eastAsia="仿宋_GB2312" w:cs="Times New Roman"/>
          <w:sz w:val="32"/>
          <w:szCs w:val="32"/>
        </w:rPr>
        <w:t>设置差异化的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附加</w:t>
      </w:r>
      <w:r>
        <w:rPr>
          <w:rFonts w:ascii="Times New Roman" w:hAnsi="Times New Roman" w:eastAsia="仿宋_GB2312" w:cs="Times New Roman"/>
          <w:sz w:val="32"/>
          <w:szCs w:val="32"/>
        </w:rPr>
        <w:t>资本要求。人民银行、银保监会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</w:t>
      </w:r>
      <w:r>
        <w:rPr>
          <w:rFonts w:ascii="Times New Roman" w:hAnsi="Times New Roman" w:eastAsia="仿宋_GB2312" w:cs="Times New Roman"/>
          <w:sz w:val="32"/>
          <w:szCs w:val="32"/>
        </w:rPr>
        <w:t>可以根据实际情况对附加资本要求进行调整，报国务院金融稳定发展委员会审议后实施。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需要</w:t>
      </w:r>
      <w:r>
        <w:rPr>
          <w:rFonts w:ascii="Times New Roman" w:hAnsi="Times New Roman" w:eastAsia="仿宋_GB2312" w:cs="Times New Roman"/>
          <w:sz w:val="32"/>
          <w:szCs w:val="32"/>
        </w:rPr>
        <w:t>说明的是，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本规定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系统重要性</w:t>
      </w:r>
      <w:r>
        <w:rPr>
          <w:rFonts w:ascii="Times New Roman" w:hAnsi="Times New Roman" w:eastAsia="仿宋_GB2312" w:cs="Times New Roman"/>
          <w:sz w:val="32"/>
          <w:szCs w:val="32"/>
        </w:rPr>
        <w:t>银行的附加资本要求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宏观审慎评估（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MPA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的附加资本要求不互相替代。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（三）明确恢复与处置计划要求</w:t>
      </w:r>
      <w:r>
        <w:rPr>
          <w:rFonts w:ascii="Times New Roman" w:hAnsi="Times New Roman" w:eastAsia="仿宋_GB2312" w:cs="Times New Roman"/>
          <w:sz w:val="32"/>
          <w:szCs w:val="32"/>
        </w:rPr>
        <w:t>。将恢复计划与处置计划（又称“生前遗嘱”）作为系统重要性银行附加监管的一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项重要</w:t>
      </w:r>
      <w:r>
        <w:rPr>
          <w:rFonts w:ascii="Times New Roman" w:hAnsi="Times New Roman" w:eastAsia="仿宋_GB2312" w:cs="Times New Roman"/>
          <w:sz w:val="32"/>
          <w:szCs w:val="32"/>
        </w:rPr>
        <w:t>工具。恢复计划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详细说明银行如何从早期危机中恢复，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</w:t>
      </w:r>
      <w:r>
        <w:rPr>
          <w:rFonts w:ascii="Times New Roman" w:hAnsi="Times New Roman" w:eastAsia="仿宋_GB2312" w:cs="Times New Roman"/>
          <w:sz w:val="32"/>
          <w:szCs w:val="32"/>
        </w:rPr>
        <w:t>能在满足事先设定的触发条件后启动和执行。处置计划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详细说明银行如何在无法持续经营时安全、快速、有效处置，保障关键业务和服务不中断，避免引发系统性风险。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在制定</w:t>
      </w:r>
      <w:r>
        <w:rPr>
          <w:rFonts w:ascii="Times New Roman" w:hAnsi="Times New Roman" w:eastAsia="仿宋_GB2312" w:cs="Times New Roman"/>
          <w:sz w:val="32"/>
          <w:szCs w:val="32"/>
        </w:rPr>
        <w:t>计划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重要性银行要全面梳理重要实体、关键业务和自救资源，增加总损失吸收能力的要求，保障机构拥有充足的自救资源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通过恢复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处置计划的制定和审查，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重要性银行要全面梳理风险领域和薄弱环节，提高透明度、降低复杂性，提高自救能力，防范“大而不能倒”风险。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明确</w:t>
      </w:r>
      <w:r>
        <w:rPr>
          <w:rFonts w:ascii="Times New Roman" w:hAnsi="Times New Roman" w:eastAsia="楷体_GB2312" w:cs="Times New Roman"/>
          <w:b/>
          <w:sz w:val="32"/>
          <w:szCs w:val="32"/>
        </w:rPr>
        <w:t>审慎监管要求</w:t>
      </w:r>
      <w:r>
        <w:rPr>
          <w:rFonts w:ascii="Times New Roman" w:hAnsi="Times New Roman" w:eastAsia="仿宋_GB2312" w:cs="Times New Roman"/>
          <w:sz w:val="32"/>
          <w:szCs w:val="32"/>
        </w:rPr>
        <w:t>。明确系统重要性银行的信息报送、风险数据加总和公司治理要求，建立监管合作与信息共享机制。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</w:t>
      </w:r>
      <w:r>
        <w:rPr>
          <w:rFonts w:ascii="Times New Roman" w:hAnsi="Times New Roman" w:eastAsia="仿宋_GB2312" w:cs="Times New Roman"/>
          <w:sz w:val="32"/>
          <w:szCs w:val="32"/>
        </w:rPr>
        <w:t>实施附加监管，加强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系统重要性银行的监测分析、并表监管和压力测试，评估信贷集中度、复杂性、业务扩张速度等关键指标，强化事前预警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。人民银行</w:t>
      </w:r>
      <w:r>
        <w:rPr>
          <w:rFonts w:ascii="Times New Roman" w:hAnsi="Times New Roman" w:eastAsia="仿宋_GB2312" w:cs="Times New Roman"/>
          <w:sz w:val="32"/>
          <w:szCs w:val="32"/>
        </w:rPr>
        <w:t>可直接向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重要性银行作出风险提示，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银行的董事、高级管理人员进行监管谈话，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</w:t>
      </w:r>
      <w:r>
        <w:rPr>
          <w:rFonts w:ascii="Times New Roman" w:hAnsi="Times New Roman" w:eastAsia="仿宋_GB2312" w:cs="Times New Roman"/>
          <w:sz w:val="32"/>
          <w:szCs w:val="32"/>
        </w:rPr>
        <w:t>银保监会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银行提出整改要求，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建议银保监会采取审慎监管措施。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258096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D75"/>
    <w:rsid w:val="00011C7E"/>
    <w:rsid w:val="00015680"/>
    <w:rsid w:val="00015A3F"/>
    <w:rsid w:val="000369B6"/>
    <w:rsid w:val="0006521F"/>
    <w:rsid w:val="000C26D6"/>
    <w:rsid w:val="000D3B98"/>
    <w:rsid w:val="000F67A4"/>
    <w:rsid w:val="000F6D67"/>
    <w:rsid w:val="00174BED"/>
    <w:rsid w:val="00181ACB"/>
    <w:rsid w:val="001A32BF"/>
    <w:rsid w:val="001A3965"/>
    <w:rsid w:val="001C03E3"/>
    <w:rsid w:val="001E0A16"/>
    <w:rsid w:val="001F59E7"/>
    <w:rsid w:val="00232D61"/>
    <w:rsid w:val="0023414D"/>
    <w:rsid w:val="00263764"/>
    <w:rsid w:val="0029099A"/>
    <w:rsid w:val="00293534"/>
    <w:rsid w:val="002A1FD6"/>
    <w:rsid w:val="002E7E03"/>
    <w:rsid w:val="002F6A46"/>
    <w:rsid w:val="00311209"/>
    <w:rsid w:val="003324AF"/>
    <w:rsid w:val="00364292"/>
    <w:rsid w:val="003938CA"/>
    <w:rsid w:val="003A790A"/>
    <w:rsid w:val="003B1167"/>
    <w:rsid w:val="003C62EC"/>
    <w:rsid w:val="003F5854"/>
    <w:rsid w:val="004012F3"/>
    <w:rsid w:val="004157F5"/>
    <w:rsid w:val="0041604E"/>
    <w:rsid w:val="00484BD5"/>
    <w:rsid w:val="00492CB8"/>
    <w:rsid w:val="004B0C52"/>
    <w:rsid w:val="004F2191"/>
    <w:rsid w:val="004F76FF"/>
    <w:rsid w:val="00506AF7"/>
    <w:rsid w:val="00551543"/>
    <w:rsid w:val="00555C3B"/>
    <w:rsid w:val="00562626"/>
    <w:rsid w:val="00563D75"/>
    <w:rsid w:val="00576FCC"/>
    <w:rsid w:val="00580986"/>
    <w:rsid w:val="005A17B7"/>
    <w:rsid w:val="005B24AC"/>
    <w:rsid w:val="005B5AC8"/>
    <w:rsid w:val="005E02E0"/>
    <w:rsid w:val="005E382C"/>
    <w:rsid w:val="00652B22"/>
    <w:rsid w:val="0066522F"/>
    <w:rsid w:val="0068599D"/>
    <w:rsid w:val="006A509F"/>
    <w:rsid w:val="006A740F"/>
    <w:rsid w:val="006B186E"/>
    <w:rsid w:val="006E1C2F"/>
    <w:rsid w:val="00716562"/>
    <w:rsid w:val="00721D5A"/>
    <w:rsid w:val="00741A13"/>
    <w:rsid w:val="007609F9"/>
    <w:rsid w:val="007A03F2"/>
    <w:rsid w:val="007A0EA9"/>
    <w:rsid w:val="007A7293"/>
    <w:rsid w:val="007D1DD7"/>
    <w:rsid w:val="007D57A7"/>
    <w:rsid w:val="007E6500"/>
    <w:rsid w:val="007F6D92"/>
    <w:rsid w:val="00817C10"/>
    <w:rsid w:val="00825E37"/>
    <w:rsid w:val="00842DF7"/>
    <w:rsid w:val="00862294"/>
    <w:rsid w:val="00881672"/>
    <w:rsid w:val="008829CF"/>
    <w:rsid w:val="00891AF2"/>
    <w:rsid w:val="008F224C"/>
    <w:rsid w:val="0090481F"/>
    <w:rsid w:val="009243B1"/>
    <w:rsid w:val="009527E3"/>
    <w:rsid w:val="009843AB"/>
    <w:rsid w:val="009907AE"/>
    <w:rsid w:val="00990F80"/>
    <w:rsid w:val="009F3825"/>
    <w:rsid w:val="00A055CE"/>
    <w:rsid w:val="00A07C70"/>
    <w:rsid w:val="00A13241"/>
    <w:rsid w:val="00A15D2C"/>
    <w:rsid w:val="00A24C66"/>
    <w:rsid w:val="00A35B34"/>
    <w:rsid w:val="00A54DC0"/>
    <w:rsid w:val="00A56AD2"/>
    <w:rsid w:val="00A65826"/>
    <w:rsid w:val="00A8774C"/>
    <w:rsid w:val="00AA33ED"/>
    <w:rsid w:val="00AC4367"/>
    <w:rsid w:val="00AC6391"/>
    <w:rsid w:val="00AE499F"/>
    <w:rsid w:val="00B07F14"/>
    <w:rsid w:val="00B17505"/>
    <w:rsid w:val="00B52897"/>
    <w:rsid w:val="00B719FA"/>
    <w:rsid w:val="00BD7B4B"/>
    <w:rsid w:val="00BF091D"/>
    <w:rsid w:val="00C149C6"/>
    <w:rsid w:val="00C32BEB"/>
    <w:rsid w:val="00C653F4"/>
    <w:rsid w:val="00C72F76"/>
    <w:rsid w:val="00C804A4"/>
    <w:rsid w:val="00C92E9F"/>
    <w:rsid w:val="00CA428D"/>
    <w:rsid w:val="00CB16AB"/>
    <w:rsid w:val="00D057A1"/>
    <w:rsid w:val="00D062B1"/>
    <w:rsid w:val="00D168D4"/>
    <w:rsid w:val="00D24402"/>
    <w:rsid w:val="00D31915"/>
    <w:rsid w:val="00D3293C"/>
    <w:rsid w:val="00DB1A31"/>
    <w:rsid w:val="00DD5529"/>
    <w:rsid w:val="00E047B1"/>
    <w:rsid w:val="00E20027"/>
    <w:rsid w:val="00E50978"/>
    <w:rsid w:val="00E5132D"/>
    <w:rsid w:val="00EA41BF"/>
    <w:rsid w:val="00EB03D6"/>
    <w:rsid w:val="00ED15C2"/>
    <w:rsid w:val="00ED6C0D"/>
    <w:rsid w:val="00EE3833"/>
    <w:rsid w:val="00F12386"/>
    <w:rsid w:val="00F43AE4"/>
    <w:rsid w:val="00F56CEC"/>
    <w:rsid w:val="00F67BF1"/>
    <w:rsid w:val="00FA794A"/>
    <w:rsid w:val="00FC293F"/>
    <w:rsid w:val="00FE494B"/>
    <w:rsid w:val="00FF2162"/>
    <w:rsid w:val="00FF222C"/>
    <w:rsid w:val="0DE754E7"/>
    <w:rsid w:val="201F2DC4"/>
    <w:rsid w:val="39151FC3"/>
    <w:rsid w:val="49124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D5B79-2AD9-4974-8AE6-CD269580E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</Words>
  <Characters>1479</Characters>
  <Lines>12</Lines>
  <Paragraphs>3</Paragraphs>
  <TotalTime>0</TotalTime>
  <ScaleCrop>false</ScaleCrop>
  <LinksUpToDate>false</LinksUpToDate>
  <CharactersWithSpaces>1735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2020-10-14T09:31:00Z</dcterms:created>
  <dc:creator>y</dc:creator>
  <cp:lastModifiedBy>银监会</cp:lastModifiedBy>
  <cp:lastPrinted>2021-03-22T02:18:00Z</cp:lastPrinted>
  <dcterms:modified xsi:type="dcterms:W3CDTF">2021-04-02T08:00:01Z</dcterms:modified>
  <dc:title>附件2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