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 Id="rId1" Type="http://schemas.openxmlformats.org/package/2006/relationships/metadata/thumbnail" Target="docProps/thumbnail.wmf"/><Relationship Id="rId5"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仿宋_GB2312" w:hAnsi="仿宋" w:eastAsia="仿宋_GB2312"/>
          <w:sz w:val="32"/>
          <w:szCs w:val="32"/>
        </w:rPr>
      </w:pPr>
    </w:p>
    <w:p>
      <w:pPr>
        <w:tabs>
          <w:tab w:val="left" w:pos="1418"/>
          <w:tab w:val="left" w:pos="1560"/>
        </w:tabs>
        <w:rPr>
          <w:rFonts w:ascii="仿宋_GB2312" w:hAnsi="仿宋" w:eastAsia="仿宋_GB2312"/>
          <w:sz w:val="32"/>
          <w:szCs w:val="32"/>
        </w:rPr>
      </w:pPr>
      <w:r>
        <w:rPr>
          <w:rFonts w:hint="eastAsia" w:ascii="仿宋_GB2312" w:hAnsi="仿宋" w:eastAsia="仿宋_GB2312"/>
          <w:sz w:val="32"/>
          <w:szCs w:val="32"/>
        </w:rPr>
        <w:t>附件1</w:t>
      </w:r>
    </w:p>
    <w:p>
      <w:pPr>
        <w:tabs>
          <w:tab w:val="left" w:pos="1418"/>
          <w:tab w:val="left" w:pos="1560"/>
        </w:tabs>
        <w:ind w:firstLine="983" w:firstLineChars="272"/>
        <w:rPr>
          <w:rFonts w:ascii="宋体" w:hAnsi="宋体" w:eastAsia="宋体" w:cs="宋体"/>
          <w:b/>
          <w:kern w:val="0"/>
          <w:sz w:val="36"/>
          <w:szCs w:val="36"/>
        </w:rPr>
      </w:pPr>
      <w:r>
        <w:rPr>
          <w:rFonts w:hint="eastAsia" w:ascii="宋体" w:hAnsi="宋体" w:eastAsia="宋体" w:cs="宋体"/>
          <w:b/>
          <w:kern w:val="0"/>
          <w:sz w:val="36"/>
          <w:szCs w:val="36"/>
        </w:rPr>
        <w:t>《2021年度中国银行业发展报告》内容摘要</w:t>
      </w:r>
    </w:p>
    <w:p>
      <w:pPr>
        <w:spacing w:beforeLines="100"/>
        <w:ind w:firstLine="640" w:firstLineChars="200"/>
        <w:rPr>
          <w:rFonts w:ascii="仿宋_GB2312" w:hAnsi="宋体" w:eastAsia="仿宋_GB2312"/>
          <w:sz w:val="32"/>
          <w:szCs w:val="32"/>
        </w:rPr>
      </w:pPr>
      <w:r>
        <w:rPr>
          <w:rFonts w:hint="eastAsia" w:ascii="仿宋_GB2312" w:hAnsi="宋体" w:eastAsia="仿宋_GB2312"/>
          <w:sz w:val="32"/>
          <w:szCs w:val="32"/>
        </w:rPr>
        <w:t>2020年是全面建成小康社会和“十三五”收官之年，银行业市场总体运行稳健，各项指标处于合理区间。面对严峻复杂的国内外形势特别是新冠肺炎疫情的严重冲击，银行业金融机构坚决落实党中央、国务院决策部署及监管要求，统筹做好疫情防控金融服务，有力支持国民经济稳步复苏，持续深化金融供给侧结构性改革，有效防范化解金融风险，各项工作迈出坚实步伐。2021年是“两个一百年”历史交汇之年、“十四五”时期和二〇三五年远景目标开局之年，银行业金融机构将坚持以习近平新时代中国特色社会主义思想为指导，贯彻落实党的十九届五中全会和中央经济工作会议精神，以实现高质量发展为新突破，全力支持国民经济加快构建新发展格局。</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一、经济金融运行环境稳步改善，银行业金融机构稳健发展</w:t>
      </w:r>
    </w:p>
    <w:p>
      <w:pPr>
        <w:ind w:firstLine="640" w:firstLineChars="200"/>
        <w:rPr>
          <w:rFonts w:ascii="仿宋_GB2312" w:hAnsi="宋体" w:eastAsia="仿宋_GB2312"/>
          <w:sz w:val="32"/>
          <w:szCs w:val="32"/>
        </w:rPr>
      </w:pPr>
      <w:r>
        <w:rPr>
          <w:rFonts w:hint="eastAsia" w:ascii="仿宋_GB2312" w:hAnsi="宋体" w:eastAsia="仿宋_GB2312"/>
          <w:sz w:val="32"/>
          <w:szCs w:val="32"/>
        </w:rPr>
        <w:t>2020年，新冠肺炎疫情席卷全球，各经济体都遭受了不同程度的冲击，全球经济整体出现负增长，中国在全球主要经济体中唯一实现经济正增长，彰显出中国经济强大的活力和韧性，为“十四五”时期高质量发展奠定了较好的基础。在此背景下，为应对疫情冲击，国内银行业积极投放信贷，资产和负债规模保持较快增长，2020年末，银行业金融机构总资产和总负债分别达319.7万亿元和293.1万亿元，分别增长10.1%和10.2%。商业银行净息差总体稳定，下半年逐步回升；显性不良率先升后降，潜在风险控制良好，拨备计提大增，资产质量加速夯实；净利润落入负增长区间，三季度呈现企稳回升态势；资本充足率先降后升，商业银行核心一级资本以及中小银行资本仍承受一定压力。在政策支持和经济修复下，商业银行经营总体企稳改善，各类金融机构实现稳健发展。</w:t>
      </w:r>
    </w:p>
    <w:p>
      <w:pPr>
        <w:ind w:firstLine="640" w:firstLineChars="200"/>
        <w:rPr>
          <w:rFonts w:ascii="仿宋_GB2312" w:hAnsi="宋体" w:eastAsia="仿宋_GB2312"/>
          <w:sz w:val="32"/>
          <w:szCs w:val="32"/>
        </w:rPr>
      </w:pPr>
      <w:r>
        <w:rPr>
          <w:rFonts w:hint="eastAsia" w:ascii="仿宋_GB2312" w:hAnsi="宋体" w:eastAsia="仿宋_GB2312"/>
          <w:sz w:val="32"/>
          <w:szCs w:val="32"/>
        </w:rPr>
        <w:t>2021年，随着全球疫苗接种量的提升，全球经济开启复苏进程。中国由于疫情控制最为得力，经济率先复苏回升，中国银行业主要指标表现持续改善。</w:t>
      </w:r>
      <w:r>
        <w:rPr>
          <w:rFonts w:ascii="仿宋_GB2312" w:hAnsi="宋体" w:eastAsia="仿宋_GB2312"/>
          <w:sz w:val="32"/>
          <w:szCs w:val="32"/>
        </w:rPr>
        <w:t>2021年6月末，银行业金融机构</w:t>
      </w:r>
      <w:r>
        <w:rPr>
          <w:rFonts w:hint="eastAsia" w:ascii="仿宋_GB2312" w:hAnsi="宋体" w:eastAsia="仿宋_GB2312"/>
          <w:sz w:val="32"/>
          <w:szCs w:val="32"/>
        </w:rPr>
        <w:t>总</w:t>
      </w:r>
      <w:r>
        <w:rPr>
          <w:rFonts w:ascii="仿宋_GB2312" w:hAnsi="宋体" w:eastAsia="仿宋_GB2312"/>
          <w:sz w:val="32"/>
          <w:szCs w:val="32"/>
        </w:rPr>
        <w:t>资产336</w:t>
      </w:r>
      <w:r>
        <w:rPr>
          <w:rFonts w:hint="eastAsia" w:ascii="仿宋_GB2312" w:hAnsi="宋体" w:eastAsia="仿宋_GB2312"/>
          <w:sz w:val="32"/>
          <w:szCs w:val="32"/>
        </w:rPr>
        <w:t>万亿元，同比增长</w:t>
      </w:r>
      <w:r>
        <w:rPr>
          <w:rFonts w:ascii="仿宋_GB2312" w:hAnsi="宋体" w:eastAsia="仿宋_GB2312"/>
          <w:sz w:val="32"/>
          <w:szCs w:val="32"/>
        </w:rPr>
        <w:t>8.6%</w:t>
      </w:r>
      <w:r>
        <w:rPr>
          <w:rFonts w:hint="eastAsia" w:ascii="仿宋_GB2312" w:hAnsi="宋体" w:eastAsia="仿宋_GB2312"/>
          <w:sz w:val="32"/>
          <w:szCs w:val="32"/>
        </w:rPr>
        <w:t>；商业银行不良贷款率</w:t>
      </w:r>
      <w:r>
        <w:rPr>
          <w:rFonts w:ascii="仿宋_GB2312" w:hAnsi="宋体" w:eastAsia="仿宋_GB2312"/>
          <w:sz w:val="32"/>
          <w:szCs w:val="32"/>
        </w:rPr>
        <w:t>1.76%，较上季末下降0.05个百分点</w:t>
      </w:r>
      <w:r>
        <w:rPr>
          <w:rFonts w:hint="eastAsia" w:ascii="仿宋_GB2312" w:hAnsi="宋体" w:eastAsia="仿宋_GB2312"/>
          <w:sz w:val="32"/>
          <w:szCs w:val="32"/>
        </w:rPr>
        <w:t>；上半年，商业银行实现净利润</w:t>
      </w:r>
      <w:r>
        <w:rPr>
          <w:rFonts w:ascii="仿宋_GB2312" w:hAnsi="宋体" w:eastAsia="仿宋_GB2312"/>
          <w:sz w:val="32"/>
          <w:szCs w:val="32"/>
        </w:rPr>
        <w:t>1.1</w:t>
      </w:r>
      <w:r>
        <w:rPr>
          <w:rFonts w:hint="eastAsia" w:ascii="仿宋_GB2312" w:hAnsi="宋体" w:eastAsia="仿宋_GB2312"/>
          <w:sz w:val="32"/>
          <w:szCs w:val="32"/>
        </w:rPr>
        <w:t>万亿元</w:t>
      </w:r>
      <w:r>
        <w:rPr>
          <w:rFonts w:ascii="仿宋_GB2312" w:hAnsi="宋体" w:eastAsia="仿宋_GB2312"/>
          <w:sz w:val="32"/>
          <w:szCs w:val="32"/>
        </w:rPr>
        <w:t>,同比增长11.1%</w:t>
      </w:r>
      <w:r>
        <w:rPr>
          <w:rFonts w:hint="eastAsia" w:ascii="仿宋_GB2312" w:hAnsi="宋体" w:eastAsia="仿宋_GB2312"/>
          <w:sz w:val="32"/>
          <w:szCs w:val="32"/>
        </w:rPr>
        <w:t>。未来随着政策逐步回归常态，预计全年银行业资产负债规模将稳步增长，信贷结构进一步优化；净息差预计逐步筑底企稳；盈利水平和资产质量继续改善，行业景气度将持续提升。“十四五”时期，中国将开启社会主义现代化建设新征程，在新发展格局下，银行业将迈入高质量发展新阶段，逐步构建起多层次银行机构体系，加快专业化经营和特色化发展，进一步提高经营效率和综合实力。</w:t>
      </w:r>
    </w:p>
    <w:p>
      <w:pPr>
        <w:spacing w:line="600" w:lineRule="exact"/>
        <w:ind w:firstLine="643" w:firstLineChars="200"/>
        <w:rPr>
          <w:rFonts w:ascii="黑体" w:hAnsi="黑体" w:eastAsia="黑体"/>
          <w:b/>
          <w:sz w:val="32"/>
          <w:szCs w:val="32"/>
        </w:rPr>
      </w:pPr>
      <w:r>
        <w:rPr>
          <w:rFonts w:hint="eastAsia" w:ascii="仿宋_GB2312" w:hAnsi="Times New Roman" w:eastAsia="仿宋_GB2312"/>
          <w:b/>
          <w:sz w:val="32"/>
          <w:szCs w:val="32"/>
        </w:rPr>
        <w:t>二、资产业务进一步回归本源，金融服务实体经济质效持续提升</w:t>
      </w:r>
    </w:p>
    <w:p>
      <w:pPr>
        <w:spacing w:line="600" w:lineRule="exact"/>
        <w:ind w:firstLine="640" w:firstLineChars="200"/>
        <w:rPr>
          <w:rFonts w:ascii="仿宋_GB2312" w:hAnsi="宋体" w:eastAsia="仿宋_GB2312"/>
          <w:sz w:val="32"/>
          <w:szCs w:val="32"/>
        </w:rPr>
      </w:pPr>
      <w:r>
        <w:rPr>
          <w:rFonts w:ascii="仿宋_GB2312" w:hAnsi="宋体" w:eastAsia="仿宋_GB2312"/>
          <w:sz w:val="32"/>
          <w:szCs w:val="32"/>
        </w:rPr>
        <w:t>2020年，银行业认真贯彻党中央、国务院决策部署及监管要求，不断加大对实体经济的支持力度，落实降费让利政策，有效满足企业融资需求，公司信贷规模增速实现较快增长。全年人民币贷款新增19.6万亿元，信贷结构持续优化，重点加大对制造业、绿色金融、普惠小微等重点领域和薄弱环节的支持，为实体经济转型发展提供有力支撑；民营企业、制造业贷款分别增加5.7万亿元、2.2万亿元；科学研究和技术服务业贷款、信息技术服务业贷款同比分别增长20.1%、14.9%，高于各项贷款增速；主要银行绿色信贷余额11.9万</w:t>
      </w:r>
      <w:r>
        <w:rPr>
          <w:rFonts w:hint="eastAsia" w:ascii="仿宋_GB2312" w:hAnsi="宋体" w:eastAsia="仿宋_GB2312"/>
          <w:sz w:val="32"/>
          <w:szCs w:val="32"/>
        </w:rPr>
        <w:t>亿元，比年初增长</w:t>
      </w:r>
      <w:r>
        <w:rPr>
          <w:rFonts w:ascii="仿宋_GB2312" w:hAnsi="宋体" w:eastAsia="仿宋_GB2312"/>
          <w:sz w:val="32"/>
          <w:szCs w:val="32"/>
        </w:rPr>
        <w:t>20.3%。投资及其它金融资产业务规模总体保持增长势头，但在总资产中的占比逐季小幅走低，不同类型的银行业务发展存在明显差异。</w:t>
      </w:r>
    </w:p>
    <w:p>
      <w:pPr>
        <w:ind w:firstLine="640" w:firstLineChars="200"/>
        <w:rPr>
          <w:rFonts w:ascii="仿宋_GB2312" w:hAnsi="仿宋" w:eastAsia="仿宋_GB2312"/>
          <w:sz w:val="32"/>
          <w:szCs w:val="32"/>
        </w:rPr>
      </w:pPr>
      <w:r>
        <w:rPr>
          <w:rFonts w:ascii="仿宋_GB2312" w:hAnsi="宋体" w:eastAsia="仿宋_GB2312"/>
          <w:sz w:val="32"/>
          <w:szCs w:val="32"/>
        </w:rPr>
        <w:t>2021年，伴随中国经济稳定增长，企业信贷需求旺盛。上半年各项贷款新增13.5</w:t>
      </w:r>
      <w:r>
        <w:rPr>
          <w:rFonts w:hint="eastAsia" w:ascii="仿宋_GB2312" w:hAnsi="宋体" w:eastAsia="仿宋_GB2312"/>
          <w:sz w:val="32"/>
          <w:szCs w:val="32"/>
        </w:rPr>
        <w:t>万亿元，其中，制造业贷款增加</w:t>
      </w:r>
      <w:r>
        <w:rPr>
          <w:rFonts w:ascii="仿宋_GB2312" w:hAnsi="宋体" w:eastAsia="仿宋_GB2312"/>
          <w:sz w:val="32"/>
          <w:szCs w:val="32"/>
        </w:rPr>
        <w:t>1.7</w:t>
      </w:r>
      <w:r>
        <w:rPr>
          <w:rFonts w:hint="eastAsia" w:ascii="仿宋_GB2312" w:hAnsi="宋体" w:eastAsia="仿宋_GB2312"/>
          <w:sz w:val="32"/>
          <w:szCs w:val="32"/>
        </w:rPr>
        <w:t>万亿元，涉农贷款增加</w:t>
      </w:r>
      <w:r>
        <w:rPr>
          <w:rFonts w:ascii="仿宋_GB2312" w:hAnsi="宋体" w:eastAsia="仿宋_GB2312"/>
          <w:sz w:val="32"/>
          <w:szCs w:val="32"/>
        </w:rPr>
        <w:t>3.03</w:t>
      </w:r>
      <w:r>
        <w:rPr>
          <w:rFonts w:hint="eastAsia" w:ascii="仿宋_GB2312" w:hAnsi="宋体" w:eastAsia="仿宋_GB2312"/>
          <w:sz w:val="32"/>
          <w:szCs w:val="32"/>
        </w:rPr>
        <w:t>万亿元；科研技术贷款同比增长</w:t>
      </w:r>
      <w:r>
        <w:rPr>
          <w:rFonts w:ascii="仿宋_GB2312" w:hAnsi="宋体" w:eastAsia="仿宋_GB2312"/>
          <w:sz w:val="32"/>
          <w:szCs w:val="32"/>
        </w:rPr>
        <w:t>23.7%，主要银行绿色信贷增加超过1</w:t>
      </w:r>
      <w:r>
        <w:rPr>
          <w:rFonts w:hint="eastAsia" w:ascii="仿宋_GB2312" w:hAnsi="宋体" w:eastAsia="仿宋_GB2312"/>
          <w:sz w:val="32"/>
          <w:szCs w:val="32"/>
        </w:rPr>
        <w:t>万亿元；普惠型小微企业、民营企业贷款较年初分别增长</w:t>
      </w:r>
      <w:r>
        <w:rPr>
          <w:rFonts w:ascii="仿宋_GB2312" w:hAnsi="宋体" w:eastAsia="仿宋_GB2312"/>
          <w:sz w:val="32"/>
          <w:szCs w:val="32"/>
        </w:rPr>
        <w:t>16.4%、8.6%。新发放普惠型小</w:t>
      </w:r>
      <w:r>
        <w:rPr>
          <w:rFonts w:hint="eastAsia" w:ascii="仿宋_GB2312" w:hAnsi="宋体" w:eastAsia="仿宋_GB2312"/>
          <w:sz w:val="32"/>
          <w:szCs w:val="32"/>
        </w:rPr>
        <w:t>微企业贷款平均利率同比下降</w:t>
      </w:r>
      <w:r>
        <w:rPr>
          <w:rFonts w:ascii="仿宋_GB2312" w:hAnsi="宋体" w:eastAsia="仿宋_GB2312"/>
          <w:sz w:val="32"/>
          <w:szCs w:val="32"/>
        </w:rPr>
        <w:t>0.23个百分点。</w:t>
      </w:r>
      <w:r>
        <w:rPr>
          <w:rFonts w:hint="eastAsia" w:ascii="仿宋_GB2312" w:hAnsi="宋体" w:eastAsia="仿宋_GB2312"/>
          <w:sz w:val="32"/>
          <w:szCs w:val="32"/>
        </w:rPr>
        <w:t>预计下半年银行业信贷投放仍将保持较快增长，但在高基数效应及逆周期政策常态化影响下，信贷增速将有所放缓。</w:t>
      </w:r>
    </w:p>
    <w:p>
      <w:pPr>
        <w:spacing w:line="6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三、负债业务发展总体稳健，非存款负债业务有序发展</w:t>
      </w:r>
    </w:p>
    <w:p>
      <w:pPr>
        <w:ind w:firstLine="640" w:firstLineChars="200"/>
        <w:rPr>
          <w:rFonts w:ascii="仿宋_GB2312" w:hAnsi="宋体" w:eastAsia="仿宋_GB2312"/>
          <w:sz w:val="32"/>
          <w:szCs w:val="32"/>
        </w:rPr>
      </w:pPr>
      <w:r>
        <w:rPr>
          <w:rFonts w:ascii="仿宋_GB2312" w:hAnsi="宋体" w:eastAsia="仿宋_GB2312"/>
          <w:sz w:val="32"/>
          <w:szCs w:val="32"/>
        </w:rPr>
        <w:t>2020年，为积极应对疫情冲击，监管政策加大逆周期调节力度，稳健货币政策灵活适度、精准导向</w:t>
      </w:r>
      <w:r>
        <w:rPr>
          <w:rFonts w:hint="eastAsia" w:ascii="仿宋_GB2312" w:hAnsi="宋体" w:eastAsia="仿宋_GB2312"/>
          <w:sz w:val="32"/>
          <w:szCs w:val="32"/>
        </w:rPr>
        <w:t>，流动性合理充裕，银行业负债规模稳步增长，负债结构持续优化，同业负债及其他负债在监管中有序发展。2020年末，商业银行总负债为244.54万亿元，同比增长11.10%，增速较上年末上升2.44个百分点。银行业存款业务发展良好，增速持续上涨。</w:t>
      </w:r>
      <w:r>
        <w:rPr>
          <w:rFonts w:ascii="仿宋_GB2312" w:hAnsi="宋体" w:eastAsia="仿宋_GB2312"/>
          <w:sz w:val="32"/>
          <w:szCs w:val="32"/>
        </w:rPr>
        <w:t>2020年末，银行业金融机构对公存款余额121.76万亿元，同比增长7.41%，其中：企业存款68.82万亿元，同比增长10.81%，增速显著回升；住户存款余额93.44万亿元，同比增长13.77%。商业银行大力压降结构性存款，负债成本趋于改善；个人存款持续增长，零售转型不断深化；同业负债及其他负债业务进一步规范。</w:t>
      </w:r>
    </w:p>
    <w:p>
      <w:pPr>
        <w:ind w:firstLine="640" w:firstLineChars="200"/>
        <w:rPr>
          <w:rFonts w:ascii="仿宋_GB2312" w:hAnsi="宋体" w:eastAsia="仿宋_GB2312"/>
          <w:sz w:val="32"/>
          <w:szCs w:val="32"/>
        </w:rPr>
      </w:pPr>
      <w:r>
        <w:rPr>
          <w:rFonts w:ascii="仿宋_GB2312" w:hAnsi="宋体" w:eastAsia="仿宋_GB2312"/>
          <w:sz w:val="32"/>
          <w:szCs w:val="32"/>
        </w:rPr>
        <w:t>2021年，宏观政策将进一步做好跨周期调节，中国银行业负债</w:t>
      </w:r>
      <w:r>
        <w:rPr>
          <w:rFonts w:hint="eastAsia" w:ascii="仿宋_GB2312" w:hAnsi="宋体" w:eastAsia="仿宋_GB2312"/>
          <w:sz w:val="32"/>
          <w:szCs w:val="32"/>
        </w:rPr>
        <w:t>业务将保持稳健发展。</w:t>
      </w:r>
      <w:r>
        <w:rPr>
          <w:rFonts w:ascii="仿宋_GB2312" w:hAnsi="宋体" w:eastAsia="仿宋_GB2312"/>
          <w:sz w:val="32"/>
          <w:szCs w:val="32"/>
        </w:rPr>
        <w:t xml:space="preserve">2021年6月末，银行业金融机构存款余额为233.20万亿元，同比增长9.50%，增速较2020年同期下降了0.98个百分点。银行间存款竞争趋于激烈，存款成本依然面临上升压力，存款增长结构上更依赖于住户存款的扩张。存款利率自律机制改革，以及负债质量管理办法等政策措施，为保障商业银行负债业务的高质量发展奠定了基础。随着利率市场化深入推进和市场竞争加剧，商业银行将在新发展理念指引下，主动拓展存款来源，同时灵活运用多种同业及其他负债工具, </w:t>
      </w:r>
      <w:r>
        <w:rPr>
          <w:rFonts w:hint="eastAsia" w:ascii="仿宋_GB2312" w:hAnsi="宋体" w:eastAsia="仿宋_GB2312"/>
          <w:sz w:val="32"/>
          <w:szCs w:val="32"/>
        </w:rPr>
        <w:t>推动同业负债及其他负债业务在规范中有序发展。</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四、中间业务收入稳中有升，业务发展差异化趋势明显</w:t>
      </w:r>
    </w:p>
    <w:p>
      <w:pPr>
        <w:ind w:firstLine="640" w:firstLineChars="200"/>
        <w:rPr>
          <w:rFonts w:ascii="仿宋_GB2312" w:hAnsi="宋体" w:eastAsia="仿宋_GB2312"/>
          <w:sz w:val="32"/>
          <w:szCs w:val="32"/>
        </w:rPr>
      </w:pPr>
      <w:r>
        <w:rPr>
          <w:rFonts w:hint="eastAsia" w:ascii="仿宋_GB2312" w:hAnsi="宋体" w:eastAsia="仿宋_GB2312"/>
          <w:sz w:val="32"/>
          <w:szCs w:val="32"/>
        </w:rPr>
        <w:t>2020年，主要商业银行的中间业务收入保持稳步增长，全年实现手续费及佣金净收入7903.35亿元，同比增加519.41亿元；手续费及佣金净收入占营业收入的比重为11.33%，同比增加0.34个百分点。传统中间业务依然占据主导地位，其中由于信用卡分期手续费收入的重分类，银行卡类业务占比有所下降。各类型银行机构传统中间业务的重点和结构继续分化，大型商业银行的结算及清算类业务优势依旧显著，股份制商业银行银行卡类业务占比优势明显，城商行及农商行代理委托类收入占比较高。非传统中间业务收入有所增加，机构间差异化发展的趋势更加明显，大型商业银行发挥优势加强产品创新，为托管业务增收打下良好基础，股份制商业银行发挥债券承销业务优势，推动投行业务创新发展，城商行及农商行积极加强与各类资管机构合作，持续丰富理财产品线。</w:t>
      </w:r>
    </w:p>
    <w:p>
      <w:pPr>
        <w:ind w:firstLine="640" w:firstLineChars="200"/>
        <w:rPr>
          <w:rFonts w:ascii="仿宋_GB2312" w:hAnsi="宋体" w:eastAsia="仿宋_GB2312"/>
          <w:sz w:val="32"/>
          <w:szCs w:val="32"/>
        </w:rPr>
      </w:pPr>
      <w:r>
        <w:rPr>
          <w:rFonts w:hint="eastAsia" w:ascii="仿宋_GB2312" w:hAnsi="宋体" w:eastAsia="仿宋_GB2312"/>
          <w:sz w:val="32"/>
          <w:szCs w:val="32"/>
        </w:rPr>
        <w:t>2021年</w:t>
      </w:r>
      <w:r>
        <w:rPr>
          <w:rFonts w:ascii="仿宋_GB2312" w:hAnsi="宋体" w:eastAsia="仿宋_GB2312"/>
          <w:sz w:val="32"/>
          <w:szCs w:val="32"/>
        </w:rPr>
        <w:t>一季度</w:t>
      </w:r>
      <w:r>
        <w:rPr>
          <w:rFonts w:hint="eastAsia" w:ascii="仿宋_GB2312" w:hAnsi="宋体" w:eastAsia="仿宋_GB2312"/>
          <w:sz w:val="32"/>
          <w:szCs w:val="32"/>
        </w:rPr>
        <w:t>，主要商业银行</w:t>
      </w:r>
      <w:r>
        <w:rPr>
          <w:rFonts w:ascii="仿宋_GB2312" w:hAnsi="宋体" w:eastAsia="仿宋_GB2312"/>
          <w:sz w:val="32"/>
          <w:szCs w:val="32"/>
        </w:rPr>
        <w:t>共实现手续费及佣金净收入2591.79亿元，比去年同期增加255.39亿元</w:t>
      </w:r>
      <w:r>
        <w:rPr>
          <w:rFonts w:hint="eastAsia" w:ascii="仿宋_GB2312" w:hAnsi="宋体" w:eastAsia="仿宋_GB2312"/>
          <w:sz w:val="32"/>
          <w:szCs w:val="32"/>
        </w:rPr>
        <w:t>，</w:t>
      </w:r>
      <w:r>
        <w:rPr>
          <w:rFonts w:ascii="仿宋_GB2312" w:hAnsi="宋体" w:eastAsia="仿宋_GB2312"/>
          <w:sz w:val="32"/>
          <w:szCs w:val="32"/>
        </w:rPr>
        <w:t>同比增速为10.93%</w:t>
      </w:r>
      <w:r>
        <w:rPr>
          <w:rFonts w:hint="eastAsia" w:ascii="仿宋_GB2312" w:hAnsi="宋体" w:eastAsia="仿宋_GB2312"/>
          <w:sz w:val="32"/>
          <w:szCs w:val="32"/>
        </w:rPr>
        <w:t>；手续费及佣金净收入占营业收入的比重为</w:t>
      </w:r>
      <w:r>
        <w:rPr>
          <w:rFonts w:ascii="仿宋_GB2312" w:hAnsi="宋体" w:eastAsia="仿宋_GB2312"/>
          <w:sz w:val="32"/>
          <w:szCs w:val="32"/>
        </w:rPr>
        <w:t>12.40%，比去年同期增加1.40</w:t>
      </w:r>
      <w:r>
        <w:rPr>
          <w:rFonts w:hint="eastAsia" w:ascii="仿宋_GB2312" w:hAnsi="宋体" w:eastAsia="仿宋_GB2312"/>
          <w:sz w:val="32"/>
          <w:szCs w:val="32"/>
        </w:rPr>
        <w:t>个百分点。中间业务作为提升金融服务的重要手段，以及整合资源优势的重要纽带，商业银行持续加大投入力度，预计下半年传统中间业务总体仍将保持平稳增长，非传统中间业务也将步入新发展阶段。其中，伴随中国居民财富的持续增长，理财业务需求将不断增加；伴随金融市场逐渐对外开放，托管业务将实现多元化发展；随着产业结构转型升级，投行业务将向科技创新、高端制造等领域拓展发力。</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五、信用风险小幅上升，市场与流动性风险总体稳定</w:t>
      </w:r>
    </w:p>
    <w:p>
      <w:pPr>
        <w:ind w:firstLine="640" w:firstLineChars="200"/>
        <w:rPr>
          <w:rFonts w:ascii="仿宋_GB2312" w:hAnsi="宋体" w:eastAsia="仿宋_GB2312"/>
          <w:sz w:val="32"/>
          <w:szCs w:val="32"/>
        </w:rPr>
      </w:pPr>
      <w:r>
        <w:rPr>
          <w:rFonts w:ascii="仿宋_GB2312" w:hAnsi="宋体" w:eastAsia="仿宋_GB2312"/>
          <w:sz w:val="32"/>
          <w:szCs w:val="32"/>
        </w:rPr>
        <w:t>2020年，受新冠肺炎疫情</w:t>
      </w:r>
      <w:r>
        <w:rPr>
          <w:rFonts w:hint="eastAsia" w:ascii="仿宋_GB2312" w:hAnsi="宋体" w:eastAsia="仿宋_GB2312"/>
          <w:sz w:val="32"/>
          <w:szCs w:val="32"/>
        </w:rPr>
        <w:t>和国内外复杂严峻形势影响，中国银行业面临的</w:t>
      </w:r>
      <w:r>
        <w:rPr>
          <w:rFonts w:ascii="仿宋_GB2312" w:hAnsi="宋体" w:eastAsia="仿宋_GB2312"/>
          <w:sz w:val="32"/>
          <w:szCs w:val="32"/>
        </w:rPr>
        <w:t>风险和</w:t>
      </w:r>
      <w:r>
        <w:rPr>
          <w:rFonts w:hint="eastAsia" w:ascii="仿宋_GB2312" w:hAnsi="宋体" w:eastAsia="仿宋_GB2312"/>
          <w:sz w:val="32"/>
          <w:szCs w:val="32"/>
        </w:rPr>
        <w:t>挑战加大。</w:t>
      </w:r>
      <w:r>
        <w:rPr>
          <w:rFonts w:ascii="仿宋_GB2312" w:hAnsi="宋体" w:eastAsia="仿宋_GB2312"/>
          <w:sz w:val="32"/>
          <w:szCs w:val="32"/>
        </w:rPr>
        <w:t>2020年末，商业银行不良贷款余额27,015亿元，不良贷款率1.84%，较年初下降0.02个百分点。商业银行持续加大风险化解和</w:t>
      </w:r>
      <w:r>
        <w:rPr>
          <w:rFonts w:hint="eastAsia" w:ascii="仿宋_GB2312" w:hAnsi="宋体" w:eastAsia="仿宋_GB2312"/>
          <w:sz w:val="32"/>
          <w:szCs w:val="32"/>
        </w:rPr>
        <w:t>不良贷款</w:t>
      </w:r>
      <w:r>
        <w:rPr>
          <w:rFonts w:ascii="仿宋_GB2312" w:hAnsi="宋体" w:eastAsia="仿宋_GB2312"/>
          <w:sz w:val="32"/>
          <w:szCs w:val="32"/>
        </w:rPr>
        <w:t>处置力度，</w:t>
      </w:r>
      <w:r>
        <w:rPr>
          <w:rFonts w:hint="eastAsia" w:ascii="仿宋_GB2312" w:hAnsi="宋体" w:eastAsia="仿宋_GB2312"/>
          <w:sz w:val="32"/>
          <w:szCs w:val="32"/>
        </w:rPr>
        <w:t>银行业全年共处置不良资产</w:t>
      </w:r>
      <w:r>
        <w:rPr>
          <w:rFonts w:ascii="仿宋_GB2312" w:hAnsi="宋体" w:eastAsia="仿宋_GB2312"/>
          <w:sz w:val="32"/>
          <w:szCs w:val="32"/>
        </w:rPr>
        <w:t>3.02万亿元，明显高于2019年。商业银行持续完善和优化风险管理体系，多渠道补充资本，坚定遏制脱实向虚现象，金融杠杆率明显下降，风险抵补能力持续改善，信用风险整体可控。在疫情冲击背景下，全球金融市场波动加大，国内商业银行在做好风险防控的前提下，积极应对市场风险。此外，在货币政策的支持下，市场整体流动性水平保持平稳，流动性风险总体可控。</w:t>
      </w:r>
    </w:p>
    <w:p>
      <w:pPr>
        <w:ind w:firstLine="640" w:firstLineChars="200"/>
        <w:rPr>
          <w:rFonts w:ascii="仿宋_GB2312" w:hAnsi="宋体" w:eastAsia="仿宋_GB2312"/>
          <w:sz w:val="32"/>
          <w:szCs w:val="32"/>
        </w:rPr>
      </w:pPr>
      <w:r>
        <w:rPr>
          <w:rFonts w:ascii="仿宋_GB2312" w:hAnsi="宋体" w:eastAsia="仿宋_GB2312"/>
          <w:sz w:val="32"/>
          <w:szCs w:val="32"/>
        </w:rPr>
        <w:t>2021年，全球经济尚未全面恢复，疫情演化尚存在不确定性，且受疫情冲击的风险暴露具有一定的滞后性，</w:t>
      </w:r>
      <w:r>
        <w:rPr>
          <w:rFonts w:hint="eastAsia" w:ascii="仿宋_GB2312" w:hAnsi="宋体" w:eastAsia="仿宋_GB2312"/>
          <w:sz w:val="32"/>
          <w:szCs w:val="32"/>
        </w:rPr>
        <w:t>银行业潜在风险依然较大。</w:t>
      </w:r>
      <w:r>
        <w:rPr>
          <w:rFonts w:ascii="仿宋_GB2312" w:hAnsi="宋体" w:eastAsia="仿宋_GB2312"/>
          <w:sz w:val="32"/>
          <w:szCs w:val="32"/>
        </w:rPr>
        <w:t>2021年6月末，商业银行不良贷款余额27,908亿元，不良贷款率1.76%，关注类贷款占比2.36%，不良贷款率和</w:t>
      </w:r>
      <w:r>
        <w:rPr>
          <w:rFonts w:hint="eastAsia" w:ascii="仿宋_GB2312" w:hAnsi="宋体" w:eastAsia="仿宋_GB2312"/>
          <w:sz w:val="32"/>
          <w:szCs w:val="32"/>
        </w:rPr>
        <w:t>关注</w:t>
      </w:r>
      <w:r>
        <w:rPr>
          <w:rFonts w:ascii="仿宋_GB2312" w:hAnsi="宋体" w:eastAsia="仿宋_GB2312"/>
          <w:sz w:val="32"/>
          <w:szCs w:val="32"/>
        </w:rPr>
        <w:t>类贷款占比</w:t>
      </w:r>
      <w:r>
        <w:rPr>
          <w:rFonts w:hint="eastAsia" w:ascii="仿宋_GB2312" w:hAnsi="宋体" w:eastAsia="仿宋_GB2312"/>
          <w:sz w:val="32"/>
          <w:szCs w:val="32"/>
        </w:rPr>
        <w:t>呈现持续</w:t>
      </w:r>
      <w:r>
        <w:rPr>
          <w:rFonts w:ascii="仿宋_GB2312" w:hAnsi="宋体" w:eastAsia="仿宋_GB2312"/>
          <w:sz w:val="32"/>
          <w:szCs w:val="32"/>
        </w:rPr>
        <w:t>下降趋势</w:t>
      </w:r>
      <w:r>
        <w:rPr>
          <w:rFonts w:hint="eastAsia" w:ascii="仿宋_GB2312" w:hAnsi="宋体" w:eastAsia="仿宋_GB2312"/>
          <w:sz w:val="32"/>
          <w:szCs w:val="32"/>
        </w:rPr>
        <w:t>，但资产质量依然存在较大压力。预计下半年行业内部分化加剧，地区差异将更加明显</w:t>
      </w:r>
      <w:r>
        <w:rPr>
          <w:rFonts w:ascii="仿宋_GB2312" w:hAnsi="宋体" w:eastAsia="仿宋_GB2312"/>
          <w:sz w:val="32"/>
          <w:szCs w:val="32"/>
        </w:rPr>
        <w:t>。</w:t>
      </w:r>
      <w:r>
        <w:rPr>
          <w:rFonts w:hint="eastAsia" w:ascii="仿宋_GB2312" w:hAnsi="宋体" w:eastAsia="仿宋_GB2312"/>
          <w:sz w:val="32"/>
          <w:szCs w:val="32"/>
        </w:rPr>
        <w:t>这些对商业银行风险识别能力、管理水平、管控技术等提出了更高的要求，未来商业银行更需加大不良资产处置力度，严控增量风险，审慎开展资产分类，提前足额计提拨备，增强风险抵补能力。随着疫苗接种的加速推广，全球将开启共振复苏进程，中国经济稳步向好，稳健货币政策将灵活精准、合理适度，流动性预计维持合理充裕状态，商业银行市场与流动性风险整体可控。但疫情变化仍有不确定性，加之利率市场化改革深入推进、人民币汇率双向波动和短期跨境资本流动频繁等背景下，商业银行的市场风险与流动性风险管理能力仍面临考验。总体来看，商业银行将持续完善顶层设计，强化科技赋能，完善风险预防预判、监测预警、管控处置机制，提高风险管理数字化、智能化、集约化水平，加快构建全面风险管理体系，进一步提升防范和化解金融风险的能力。</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六、持续深化改革转型，推动银行业高质量发展</w:t>
      </w:r>
    </w:p>
    <w:p>
      <w:pPr>
        <w:ind w:firstLine="640" w:firstLineChars="200"/>
        <w:rPr>
          <w:rFonts w:ascii="仿宋_GB2312" w:hAnsi="宋体" w:eastAsia="仿宋_GB2312"/>
          <w:sz w:val="32"/>
          <w:szCs w:val="32"/>
        </w:rPr>
      </w:pPr>
      <w:r>
        <w:rPr>
          <w:rFonts w:hint="eastAsia" w:ascii="仿宋_GB2312" w:hAnsi="宋体" w:eastAsia="仿宋_GB2312"/>
          <w:sz w:val="32"/>
          <w:szCs w:val="32"/>
        </w:rPr>
        <w:t>“十三五”时期，面对</w:t>
      </w:r>
      <w:r>
        <w:rPr>
          <w:rFonts w:ascii="仿宋_GB2312" w:hAnsi="宋体" w:eastAsia="仿宋_GB2312"/>
          <w:sz w:val="32"/>
          <w:szCs w:val="32"/>
        </w:rPr>
        <w:t>复杂多变的内外部环境，银行业</w:t>
      </w:r>
      <w:r>
        <w:rPr>
          <w:rFonts w:hint="eastAsia" w:ascii="仿宋_GB2312" w:hAnsi="宋体" w:eastAsia="仿宋_GB2312"/>
          <w:sz w:val="32"/>
          <w:szCs w:val="32"/>
        </w:rPr>
        <w:t>坚守</w:t>
      </w:r>
      <w:r>
        <w:rPr>
          <w:rFonts w:ascii="仿宋_GB2312" w:hAnsi="宋体" w:eastAsia="仿宋_GB2312"/>
          <w:sz w:val="32"/>
          <w:szCs w:val="32"/>
        </w:rPr>
        <w:t>服务实体经济</w:t>
      </w:r>
      <w:r>
        <w:rPr>
          <w:rFonts w:hint="eastAsia" w:ascii="仿宋_GB2312" w:hAnsi="宋体" w:eastAsia="仿宋_GB2312"/>
          <w:sz w:val="32"/>
          <w:szCs w:val="32"/>
        </w:rPr>
        <w:t>本</w:t>
      </w:r>
      <w:r>
        <w:rPr>
          <w:rFonts w:ascii="仿宋_GB2312" w:hAnsi="宋体" w:eastAsia="仿宋_GB2312"/>
          <w:sz w:val="32"/>
          <w:szCs w:val="32"/>
        </w:rPr>
        <w:t>源</w:t>
      </w:r>
      <w:r>
        <w:rPr>
          <w:rFonts w:hint="eastAsia" w:ascii="仿宋_GB2312" w:hAnsi="宋体" w:eastAsia="仿宋_GB2312"/>
          <w:sz w:val="32"/>
          <w:szCs w:val="32"/>
        </w:rPr>
        <w:t>，持续</w:t>
      </w:r>
      <w:r>
        <w:rPr>
          <w:rFonts w:ascii="仿宋_GB2312" w:hAnsi="宋体" w:eastAsia="仿宋_GB2312"/>
          <w:sz w:val="32"/>
          <w:szCs w:val="32"/>
        </w:rPr>
        <w:t>深化</w:t>
      </w:r>
      <w:r>
        <w:rPr>
          <w:rFonts w:hint="eastAsia" w:ascii="仿宋_GB2312" w:hAnsi="宋体" w:eastAsia="仿宋_GB2312"/>
          <w:sz w:val="32"/>
          <w:szCs w:val="32"/>
        </w:rPr>
        <w:t>改革</w:t>
      </w:r>
      <w:r>
        <w:rPr>
          <w:rFonts w:ascii="仿宋_GB2312" w:hAnsi="宋体" w:eastAsia="仿宋_GB2312"/>
          <w:sz w:val="32"/>
          <w:szCs w:val="32"/>
        </w:rPr>
        <w:t>转型，</w:t>
      </w:r>
      <w:r>
        <w:rPr>
          <w:rFonts w:hint="eastAsia" w:ascii="仿宋_GB2312" w:hAnsi="宋体" w:eastAsia="仿宋_GB2312"/>
          <w:sz w:val="32"/>
          <w:szCs w:val="32"/>
        </w:rPr>
        <w:t>牢牢守住不发生系统性金融风险的底线，总体保持</w:t>
      </w:r>
      <w:r>
        <w:rPr>
          <w:rFonts w:ascii="仿宋_GB2312" w:hAnsi="宋体" w:eastAsia="仿宋_GB2312"/>
          <w:sz w:val="32"/>
          <w:szCs w:val="32"/>
        </w:rPr>
        <w:t>稳健发展，</w:t>
      </w:r>
      <w:r>
        <w:rPr>
          <w:rFonts w:hint="eastAsia" w:ascii="仿宋_GB2312" w:hAnsi="宋体" w:eastAsia="仿宋_GB2312"/>
          <w:sz w:val="32"/>
          <w:szCs w:val="32"/>
        </w:rPr>
        <w:t>为“十四五”时期高质量</w:t>
      </w:r>
      <w:r>
        <w:rPr>
          <w:rFonts w:ascii="仿宋_GB2312" w:hAnsi="宋体" w:eastAsia="仿宋_GB2312"/>
          <w:sz w:val="32"/>
          <w:szCs w:val="32"/>
        </w:rPr>
        <w:t>发展奠定了坚实基础。</w:t>
      </w:r>
    </w:p>
    <w:p>
      <w:pPr>
        <w:ind w:firstLine="640" w:firstLineChars="200"/>
        <w:rPr>
          <w:rFonts w:ascii="仿宋_GB2312" w:hAnsi="宋体" w:eastAsia="仿宋_GB2312"/>
          <w:sz w:val="32"/>
          <w:szCs w:val="32"/>
        </w:rPr>
      </w:pPr>
      <w:r>
        <w:rPr>
          <w:rFonts w:hint="eastAsia" w:ascii="仿宋_GB2312" w:hAnsi="宋体" w:eastAsia="仿宋_GB2312"/>
          <w:sz w:val="32"/>
          <w:szCs w:val="32"/>
        </w:rPr>
        <w:t>当前及未来一个时期，中国发展环境面临深刻复杂变化，银行业将立足新发展阶段，全面、准确、完整贯彻新发展理念，持续深化改革转型，充分发挥金融在服务构建新发展格局中的重要作用。银行业将持续加强党的领导与公司治理的有机融合，优化股权结构，健全激励约束机制，加强风险管控和合规建设，推动公司治理体系和治理能力现代化。面对内外部经营环境的深刻变化，银行业将以轻型化促进提质增效，以数字化整合资源，以低碳化转变思维，实现盈利模式、服务模式、绿色模式转型，积极把握新发展格局中的业务机遇，加快实现可持续发展。伴随着网络强国、数字中国建设、数字产业化和产业数字化加快发展，银行业将不断推动渠道创新，通过加快开放银行建设等方式，打造场景金融新生态，创新客户服务新体验。随着行业制度规范的不断完善，以及居民财富的稳步增长、客户需求的深刻变化，银行业理财业务转型将向纵深推进，将进一步加大产品创新、拓宽销售渠道、强化科技赋能，从而更好服务经济社会发展。</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七、聚焦“十四五”时期重点领域，提升服务实体经济效能</w:t>
      </w:r>
    </w:p>
    <w:p>
      <w:pPr>
        <w:ind w:firstLine="640" w:firstLineChars="200"/>
        <w:rPr>
          <w:rFonts w:ascii="仿宋_GB2312" w:hAnsi="宋体" w:eastAsia="仿宋_GB2312"/>
          <w:sz w:val="32"/>
          <w:szCs w:val="32"/>
        </w:rPr>
      </w:pPr>
      <w:r>
        <w:rPr>
          <w:rFonts w:ascii="仿宋_GB2312" w:hAnsi="宋体" w:eastAsia="仿宋_GB2312"/>
          <w:sz w:val="32"/>
          <w:szCs w:val="32"/>
        </w:rPr>
        <w:t>2020年以来，银行业聚焦国家战略，主动优化信贷结构，持续加大对国家重大战略、重点项目、乡村振兴、绿色金融、普惠金融等领域支持力度，精准发力、持续发力，持续提升金融服务实体经济质效。</w:t>
      </w:r>
    </w:p>
    <w:p>
      <w:pPr>
        <w:ind w:firstLine="640" w:firstLineChars="200"/>
        <w:rPr>
          <w:rFonts w:ascii="仿宋_GB2312" w:hAnsi="宋体" w:eastAsia="仿宋_GB2312"/>
          <w:sz w:val="32"/>
          <w:szCs w:val="32"/>
        </w:rPr>
      </w:pPr>
      <w:r>
        <w:rPr>
          <w:rFonts w:hint="eastAsia" w:ascii="仿宋_GB2312" w:hAnsi="宋体" w:eastAsia="仿宋_GB2312"/>
          <w:sz w:val="32"/>
          <w:szCs w:val="32"/>
        </w:rPr>
        <w:t>银行业密切关注国家区域发展战略，抢抓</w:t>
      </w:r>
      <w:r>
        <w:rPr>
          <w:rFonts w:hint="eastAsia" w:ascii="仿宋_GB2312" w:hAnsi="方正仿宋_GBK" w:eastAsia="仿宋_GB2312" w:cs="方正仿宋_GBK"/>
          <w:sz w:val="32"/>
          <w:szCs w:val="32"/>
          <w:shd w:val="clear" w:color="auto" w:fill="FEFEFE"/>
        </w:rPr>
        <w:t>国家重大区域发展战略</w:t>
      </w:r>
      <w:r>
        <w:rPr>
          <w:rFonts w:hint="eastAsia" w:ascii="仿宋_GB2312" w:hAnsi="宋体" w:eastAsia="仿宋_GB2312"/>
          <w:sz w:val="32"/>
          <w:szCs w:val="32"/>
        </w:rPr>
        <w:t>机遇，</w:t>
      </w:r>
      <w:r>
        <w:rPr>
          <w:rFonts w:hint="eastAsia" w:ascii="仿宋_GB2312" w:eastAsia="仿宋_GB2312"/>
          <w:sz w:val="32"/>
          <w:szCs w:val="32"/>
        </w:rPr>
        <w:t>持续加大对长三角一体化、粤港澳大湾区、京津冀协同发展等国家重大区域发展战略的金融支持力度，助力高水平城市群建设及区域协调发展；</w:t>
      </w:r>
      <w:r>
        <w:rPr>
          <w:rFonts w:hint="eastAsia" w:ascii="仿宋_GB2312" w:hAnsi="宋体" w:eastAsia="仿宋_GB2312"/>
          <w:sz w:val="32"/>
          <w:szCs w:val="32"/>
        </w:rPr>
        <w:t>聚焦战略性新兴产业，服务经济结构调整和产业转型升级，加强研究布局，精准输送金融养分，努力为构建新发展格局做贡献；巩固拓展脱贫攻坚成果同乡村振兴有效衔接，通过</w:t>
      </w:r>
      <w:r>
        <w:rPr>
          <w:rFonts w:hint="eastAsia" w:ascii="仿宋_GB2312" w:eastAsia="仿宋_GB2312"/>
          <w:sz w:val="32"/>
          <w:szCs w:val="32"/>
        </w:rPr>
        <w:t>创新金融产品及服务模式</w:t>
      </w:r>
      <w:r>
        <w:rPr>
          <w:rFonts w:hint="eastAsia" w:ascii="仿宋_GB2312" w:hAnsi="宋体" w:eastAsia="仿宋_GB2312"/>
          <w:sz w:val="32"/>
          <w:szCs w:val="32"/>
        </w:rPr>
        <w:t>扎实推进农村改革和乡村建设，促进农业稳定发展和农民增收；聚焦碳达峰、碳中和目标，加速布局绿色金融领域，不断加快绿色金融实践与创新步伐，以新金融行动推动绿色转型；深入推进数字货币探索与试点，提高支付体系效率和普惠金融水平。为不断提升风险抵御能力和服务实体经济质效，银行业不断加大资本补充力度，持续夯实资本基础，进一步增强风险抵御能力。通过改善经营能力、提升价值创造能力等多种方式，加强市值管理，畅通股权融资，提升综合实力。</w:t>
      </w:r>
    </w:p>
    <w:p>
      <w:pPr>
        <w:ind w:firstLine="640" w:firstLineChars="200"/>
        <w:rPr>
          <w:rFonts w:ascii="仿宋_GB2312" w:hAnsi="宋体" w:eastAsia="仿宋_GB2312"/>
          <w:sz w:val="32"/>
          <w:szCs w:val="32"/>
        </w:rPr>
      </w:pPr>
      <w:r>
        <w:rPr>
          <w:rFonts w:hint="eastAsia" w:ascii="仿宋_GB2312" w:hAnsi="宋体" w:eastAsia="仿宋_GB2312"/>
          <w:sz w:val="32"/>
          <w:szCs w:val="32"/>
        </w:rPr>
        <w:t>“十四五”期间，银行业金融机构将始终坚持以习近平新时代中国特色社会主义思想为指导，全面贯彻党的十九大和十九届二中、三中、四中、五中全会以及中央经济工作会议精神，坚持党中央对金融工作的集中统一领导，立足新发展阶段，贯彻新发展理念，服务构建新发展格局，坚持稳中求进工作总基调，把促进共同富裕作为金融工作的出发点，持续深化金融供给侧结构性改革，深入推进改革开放，切实防范化解金融风险，不断提升服务实体经济质效，加快实现高质量发展。</w:t>
      </w:r>
    </w:p>
    <w:p>
      <w:bookmarkStart w:id="0" w:name="_GoBack"/>
      <w:bookmarkEnd w:id="0"/>
    </w:p>
    <w:sectPr>
      <w:footerReference r:id="rId4" w:type="default"/>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0000000000000000000"/>
    <w:charset w:val="86"/>
    <w:family w:val="auto"/>
    <w:pitch w:val="default"/>
    <w:sig w:usb0="00002003" w:usb1="090E0000" w:usb2="00000010" w:usb3="00000000" w:csb0="003C004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fldChar w:fldCharType="begin"/>
    </w:r>
    <w:r>
      <w:instrText xml:space="preserve">PAGE   \* MERGEFORMAT</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eastAsia="zh-CN" w:bidi="ar-SA"/>
    </w:rPr>
  </w:style>
  <w:style w:type="character" w:default="1" w:styleId="4">
    <w:name w:val="Default Paragraph Font"/>
  </w:style>
  <w:style w:type="paragraph" w:styleId="2">
    <w:name w:val="批注框文本"/>
    <w:basedOn w:val="1"/>
    <w:link w:val="3"/>
    <w:rPr>
      <w:rFonts w:ascii="Calibri" w:hAnsi="Calibri" w:eastAsia="宋体" w:cs="Times New Roman"/>
      <w:sz w:val="18"/>
      <w:szCs w:val="18"/>
      <w:lang/>
    </w:rPr>
  </w:style>
  <w:style w:type="character" w:customStyle="1" w:styleId="3">
    <w:name w:val="批注框文本 Char"/>
    <w:basedOn w:val="4"/>
    <w:link w:val="2"/>
    <w:semiHidden/>
    <w:rPr>
      <w:rFonts w:ascii="Calibri" w:hAnsi="Calibri" w:eastAsia="宋体" w:cs="Times New Roman"/>
      <w:sz w:val="18"/>
      <w:szCs w:val="18"/>
      <w:lang/>
    </w:rPr>
  </w:style>
  <w:style w:type="paragraph" w:styleId="5">
    <w:name w:val="footer"/>
    <w:basedOn w:val="1"/>
    <w:link w:val="6"/>
    <w:pPr>
      <w:tabs>
        <w:tab w:val="center" w:pos="4153"/>
        <w:tab w:val="right" w:pos="8306"/>
      </w:tabs>
      <w:snapToGrid w:val="0"/>
      <w:jc w:val="left"/>
    </w:pPr>
    <w:rPr>
      <w:sz w:val="18"/>
      <w:szCs w:val="18"/>
    </w:rPr>
  </w:style>
  <w:style w:type="character" w:customStyle="1" w:styleId="6">
    <w:name w:val="页脚 Char"/>
    <w:basedOn w:val="4"/>
    <w:link w:val="5"/>
    <w:semiHidden/>
    <w:rPr>
      <w:sz w:val="18"/>
      <w:szCs w:val="18"/>
    </w:rPr>
  </w:style>
  <w:style w:type="character" w:styleId="7">
    <w:name w:val="Strong"/>
    <w:basedOn w:val="4"/>
    <w:rPr>
      <w:b/>
      <w:u w:val="single"/>
    </w:rPr>
  </w:style>
  <w:style w:type="paragraph" w:customStyle="1" w:styleId="8">
    <w:name w:val="正文1"/>
    <w:rPr>
      <w:rFonts w:ascii="Calibri" w:hAnsi="Calibri" w:eastAsia="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1249</Words>
  <Characters>7120</Characters>
  <Lines>59</Lines>
  <Paragraphs>16</Paragraphs>
  <TotalTime>0</TotalTime>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2021-09-13T16:56:00Z</dcterms:created>
  <dc:creator>王芳</dc:creator>
  <dcterms:modified xsi:type="dcterms:W3CDTF">2021-09-22T09:55:11Z</dcterms:modified>
  <dc:title>王芳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