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560"/>
        </w:tabs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tabs>
          <w:tab w:val="left" w:pos="1560"/>
        </w:tabs>
        <w:spacing w:line="600" w:lineRule="exact"/>
        <w:ind w:firstLine="1084" w:firstLineChars="300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《2021年度中国银行业发展报告》目录</w:t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第一篇 总体运行篇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第一章 经济金融运行环境稳步改善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一、全球经济开启复苏进程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二、中国经济呈现快速复苏态势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三、宏观政策将做好跨周期调节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四、监管政策支持银行业高质量发展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第二章 银行业迈入高质量发展新阶段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一、2020年银行业继续保持稳健运行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二、2021年银行业盈利增速将稳步提升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三、“十四五”时期银行业将迈入高质量发展新阶段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专栏2-1 银行业竞争格局发生深刻变化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第三章 银行业金融机构稳健发展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一、各类型机构服务实体经济能力持续增强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二、各类型机构持续发挥专业优势 聚力提升金融服务能级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专栏3-1国有大型商业银行全球竞争力稳步提升</w:t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第二篇 资产业务篇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第四章 贷款业务提质增效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一、公司贷款业务结构持续优化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二、个人贷款业务稳步增长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三、票据贴现业务支持实体经济成效显著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四、2021年贷款规模仍将较快增长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专栏4-1 银行业持续加大普惠金融业务支持力度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第五章 投资及其它金融资产业务稳健发展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一、投资及其它金融资产业务稳步增长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二、投资及其它金融资产业务未来发展空间广阔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专栏5-1 链金融业务创新步伐持续加快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专栏5-2 做强贸易金融业务 服务构建新发展格局</w:t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第三篇 负债业务篇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第六章 存款业务发展总体良好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一、2020年本外币各项存款持续增长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二、2020年企业存款增速显著回升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三、2020年住户存款持续大幅增长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四、2020年外币存款增速显著回升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五、2021年存款业务有望保持稳健发展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专栏6-1 监管引导商业银行负债业务高质量发展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第七章 同业负债及其他负债业务有序发展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一、同业负债及其他负债稳健发展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二、同业负债及其他负债业务将在规范中有序发展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三、管理能力提升带动同业负债及其他负债多元化发展</w:t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第四篇 中间业务篇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第八章 传统中间业务结构分化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一、中间业务收入稳中有升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二、业务差异化发展特征显著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三、传统中间业务将继续提质增效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第九章 非传统中间业务发展差异化趋势明显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一、业务增长有所好转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二、各机构业务发展差异化趋势明显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三、非传统中间业务将步入新发展阶段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第五篇 风险管理篇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第十章 信用风险小幅上升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一、2020年信用风险整体可控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二、2021年信用风险管控压力有所增加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专栏10-1 银行业不良资产处置力度加大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专栏10-2 推动预期信用损失法有效实施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第十一章 市场风险与流动性风险总体稳定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一、2020年市场风险和流动性风险总体可控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二、2021年市场风险和流动性风险小幅承压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三、商业银行需积极应对市场风险与流动性风险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第十二章 持续加强全面风险管理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一、持续完善顶层设计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二、明确风险策略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三、强化科技赋能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四、加强各类风险防控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五、提升精细化管理水平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专栏12-1 加快推动中小银行风险化解及改革重组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专栏12-2 系统重要性银行监管影响深远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第六篇 改革转型篇</w:t>
      </w: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第十三章 “十四五”时期银行业将加快改革转型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一、“十三五”时期银行业稳健发展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二、银行业经营环境发生深刻变化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三、银行业改革转型面临新机遇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四、银行业将主动融入新发展格局 持续深化改革转型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第十四章 推动银行业公司治理体系和治理能力现代化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一、银行业公司治理存在一定特殊性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二、银行业公司治理建设呈现新变化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三、银行业公司治理有待进一步完善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四、银行业将持续深化公司治理机制改革</w:t>
      </w:r>
    </w:p>
    <w:p>
      <w:pPr>
        <w:pStyle w:val="8"/>
        <w:spacing w:line="600" w:lineRule="exact"/>
        <w:rPr>
          <w:rFonts w:ascii="仿宋" w:hAnsi="仿宋" w:eastAsia="仿宋" w:cs="Times New Roman"/>
          <w:kern w:val="2"/>
          <w:sz w:val="32"/>
          <w:szCs w:val="32"/>
          <w:lang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/>
        </w:rPr>
        <w:t>专栏14-1 完善绩效评价 推动银行业高质量发展</w:t>
      </w:r>
      <w:r>
        <w:rPr>
          <w:rFonts w:hint="eastAsia" w:ascii="仿宋" w:hAnsi="仿宋" w:eastAsia="仿宋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第十五章 商业银行加快经营模式转型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一、轻型化：提质增效，实现盈利模式转型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二、数字化：整合资源，完成服务模式转型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三、低碳化：转变思维，促进绿色模式转型</w:t>
      </w:r>
    </w:p>
    <w:p>
      <w:pPr>
        <w:pStyle w:val="8"/>
        <w:spacing w:line="600" w:lineRule="exact"/>
        <w:rPr>
          <w:rFonts w:ascii="仿宋" w:hAnsi="仿宋" w:eastAsia="仿宋" w:cs="Times New Roman"/>
          <w:kern w:val="2"/>
          <w:sz w:val="32"/>
          <w:szCs w:val="32"/>
          <w:lang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/>
        </w:rPr>
        <w:t>专栏15-1 商业银行数字化转型加速发展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第十六章 商业银行加强渠道创新与开放银行建设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一、渠道创新是科技与需求双重驱动下的必然选择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二、加快开放银行建设 推动渠道创新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三、聚焦开放银行 关注未来发展趋势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专栏16-1 商业银行发力金融生态场景建设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第十七章 商业银行持续推进理财业务转型发展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一、客户需求变化推动理财产品端结构调整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二、经营环境变化推动理财资产配置端加快转变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三、银行理财业务转型推动销售渠道几经变迁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四、理财业务分化，行业格局重塑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五、多举措推动银行理财业务转型发展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 xml:space="preserve">第七篇 </w:t>
      </w:r>
    </w:p>
    <w:p>
      <w:pPr>
        <w:pStyle w:val="8"/>
        <w:spacing w:line="600" w:lineRule="exact"/>
        <w:rPr>
          <w:rFonts w:ascii="黑体" w:hAnsi="黑体" w:eastAsia="黑体" w:cs="Times New Roman"/>
          <w:kern w:val="2"/>
          <w:sz w:val="32"/>
          <w:szCs w:val="32"/>
          <w:lang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>七、专题研究篇</w:t>
      </w:r>
      <w:r>
        <w:rPr>
          <w:rFonts w:hint="eastAsia" w:ascii="黑体" w:hAnsi="黑体" w:eastAsia="黑体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专题1 银行业支持重点区域协调发展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一、聚焦五大领域支持长三角区域一体化加速发展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二、针对重点领域支持粤港澳大湾区建设国际一流湾区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三、瞄准三大领域支持京津冀区域协同发展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专题2 银行业大力支持战略性新兴产业发展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一、战略性新兴产业发展进入“快车道”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二、银行业服务战略性新兴产业展现新作为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三、银行业将全力助推战略性新兴产业发展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专题3 银行业全力服务乡村振兴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一、乡村振兴进入“全面推进”新阶段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二、银行业服务乡村振兴挑战与机遇并存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三、银行业多措并举高质量服务乡村振兴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专题4 银行业加速布局绿色金融领域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一、“30•60”目标引领绿色金融新发展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二、“30•60”目标下银行业加速布局绿色金融领域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三、“30•60”目标下银行业绿色金融未来发展潜力巨大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专题5新形势下加强商业银行资本管理与补充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一、商业银行资本充足率差异化明显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二、商业银行多渠道加强资本补充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三、商业银行资本管理压力将持续加大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四、积极创新优化资本管理与补充方式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专题6 数字货币对银行业影响深远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一、深入推进数字货币探索与试点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二、银行业迎来数字货币重要机遇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三、数字货币对银行业带来新挑战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四、围绕数字人民币加强各项能力建设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b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lang/>
        </w:rPr>
        <w:t>专题7 高度重视上市银行市值管理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一、上市银行进行市值管理意义重大</w:t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二、提升公司价值 强化市值管理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三、从业绩和宣传着手做好市值管理工作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附录1 行业大事记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宋体" w:eastAsia="仿宋_GB2312" w:cs="Times New Roman"/>
          <w:kern w:val="2"/>
          <w:sz w:val="32"/>
          <w:szCs w:val="32"/>
          <w:lang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附录2 2021年度中国银行业100强榜单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</w:p>
    <w:p>
      <w:pPr>
        <w:pStyle w:val="8"/>
        <w:spacing w:line="600" w:lineRule="exac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>编后记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/>
        </w:rPr>
        <w:tab/>
      </w: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2003" w:usb1="090E0000" w:usb2="00000010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zh-CN" w:bidi="ar-SA"/>
    </w:rPr>
  </w:style>
  <w:style w:type="character" w:default="1" w:styleId="4">
    <w:name w:val="Default Paragraph Font"/>
  </w:style>
  <w:style w:type="paragraph" w:styleId="2">
    <w:name w:val="批注框文本"/>
    <w:basedOn w:val="1"/>
    <w:link w:val="3"/>
    <w:rPr>
      <w:rFonts w:ascii="Calibri" w:hAnsi="Calibri" w:eastAsia="宋体" w:cs="Times New Roman"/>
      <w:sz w:val="18"/>
      <w:szCs w:val="18"/>
      <w:lang/>
    </w:rPr>
  </w:style>
  <w:style w:type="character" w:customStyle="1" w:styleId="3">
    <w:name w:val="批注框文本 Char"/>
    <w:basedOn w:val="4"/>
    <w:link w:val="2"/>
    <w:semiHidden/>
    <w:rPr>
      <w:rFonts w:ascii="Calibri" w:hAnsi="Calibri" w:eastAsia="宋体" w:cs="Times New Roman"/>
      <w:sz w:val="18"/>
      <w:szCs w:val="18"/>
      <w:lang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5"/>
    <w:semiHidden/>
    <w:rPr>
      <w:sz w:val="18"/>
      <w:szCs w:val="18"/>
    </w:rPr>
  </w:style>
  <w:style w:type="character" w:styleId="7">
    <w:name w:val="Strong"/>
    <w:basedOn w:val="4"/>
    <w:rPr>
      <w:b/>
      <w:u w:val="single"/>
    </w:rPr>
  </w:style>
  <w:style w:type="paragraph" w:customStyle="1" w:styleId="8">
    <w:name w:val="正文1"/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1249</Words>
  <Characters>7120</Characters>
  <Lines>59</Lines>
  <Paragraphs>16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2021-09-13T16:56:00Z</dcterms:created>
  <dc:creator>王芳</dc:creator>
  <dcterms:modified xsi:type="dcterms:W3CDTF">2021-09-22T09:55:52Z</dcterms:modified>
  <dc:title>王芳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