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rPr>
        <w:t>点击此处添加ICS号</w:t>
      </w:r>
      <w:r>
        <w:fldChar w:fldCharType="end"/>
      </w:r>
      <w:bookmarkEnd w:id="0"/>
    </w:p>
    <w:p>
      <w:pPr>
        <w:pStyle w:val="84"/>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default" w:ascii="Times New Roman" w:hAnsi="Times New Roman" w:cs="Times New Roman"/>
        </w:rPr>
        <w:t>CC</w:t>
      </w:r>
      <w:r>
        <w:rPr>
          <w:rFonts w:hint="default" w:ascii="Times New Roman" w:hAnsi="Times New Roman" w:cs="Times New Roman"/>
          <w:lang w:val="en-US" w:eastAsia="zh-CN"/>
        </w:rPr>
        <w:t>S</w:t>
      </w:r>
      <w:r>
        <w:rPr>
          <w:rFonts w:hint="eastAsia"/>
        </w:rPr>
        <w:t xml:space="preserve"> A10</w:t>
      </w:r>
      <w:r>
        <w:fldChar w:fldCharType="end"/>
      </w:r>
      <w:bookmarkEnd w:id="1"/>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84"/>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ArehmypQEAAFkDAAAO&#10;AAAAAAAAAAEAIAAAACQBAABkcnMvZTJvRG9jLnhtbFBLBQYAAAAABgAGAFkBAAA7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56"/>
      </w:pPr>
      <w:r>
        <w:t>Q/</w:t>
      </w:r>
      <w:r>
        <w:fldChar w:fldCharType="begin">
          <w:ffData>
            <w:name w:val="c5"/>
            <w:enabled/>
            <w:calcOnExit w:val="0"/>
            <w:textInput/>
          </w:ffData>
        </w:fldChar>
      </w:r>
      <w:bookmarkStart w:id="3" w:name="c5"/>
      <w:r>
        <w:instrText xml:space="preserve"> FORMTEXT </w:instrText>
      </w:r>
      <w:r>
        <w:fldChar w:fldCharType="separate"/>
      </w:r>
      <w:r>
        <w:rPr>
          <w:rFonts w:hint="eastAsia"/>
          <w:lang w:val="en-US" w:eastAsia="zh-CN"/>
        </w:rPr>
        <w:t>XX</w:t>
      </w:r>
      <w:r>
        <w:fldChar w:fldCharType="end"/>
      </w:r>
      <w:bookmarkEnd w:id="3"/>
    </w:p>
    <w:p>
      <w:pPr>
        <w:pStyle w:val="83"/>
        <w:rPr>
          <w:rFonts w:ascii="Times New Roman" w:hAnsi="Times New Roman"/>
        </w:rPr>
      </w:pPr>
      <w:r>
        <w:fldChar w:fldCharType="begin">
          <w:ffData>
            <w:name w:val="c6"/>
            <w:enabled/>
            <w:calcOnExit w:val="0"/>
            <w:textInput/>
          </w:ffData>
        </w:fldChar>
      </w:r>
      <w:bookmarkStart w:id="4" w:name="c6"/>
      <w:r>
        <w:instrText xml:space="preserve"> FORMTEXT </w:instrText>
      </w:r>
      <w:r>
        <w:fldChar w:fldCharType="separate"/>
      </w:r>
      <w:r>
        <w:rPr>
          <w:rFonts w:hint="eastAsia"/>
          <w:lang w:val="en-US" w:eastAsia="zh-CN"/>
        </w:rPr>
        <w:t>XX</w:t>
      </w:r>
      <w:r>
        <w:rPr>
          <w:rFonts w:hint="eastAsia"/>
          <w:lang w:eastAsia="zh-CN"/>
        </w:rPr>
        <w:t>银行</w:t>
      </w:r>
      <w:r>
        <w:rPr>
          <w:rFonts w:hint="eastAsia"/>
        </w:rPr>
        <w:t>股份有限公司</w:t>
      </w:r>
      <w:r>
        <w:fldChar w:fldCharType="end"/>
      </w:r>
      <w:bookmarkEnd w:id="4"/>
      <w:r>
        <w:rPr>
          <w:rFonts w:hint="eastAsia"/>
        </w:rPr>
        <w:t>企业标</w:t>
      </w:r>
      <w:r>
        <w:rPr>
          <w:rFonts w:hint="eastAsia" w:ascii="Times New Roman" w:hAnsi="Times New Roman"/>
        </w:rPr>
        <w:t>准</w:t>
      </w:r>
    </w:p>
    <w:p>
      <w:pPr>
        <w:pStyle w:val="91"/>
        <w:rPr>
          <w:rFonts w:hAnsi="黑体"/>
        </w:rPr>
      </w:pPr>
      <w:r>
        <w:rPr>
          <w:rFonts w:ascii="Times New Roman"/>
        </w:rPr>
        <w:t>Q/</w:t>
      </w:r>
      <w:r>
        <w:rPr>
          <w:rFonts w:ascii="Times New Roman"/>
        </w:rPr>
        <w:fldChar w:fldCharType="begin">
          <w:ffData>
            <w:name w:val="StdNo0"/>
            <w:enabled/>
            <w:calcOnExit w:val="0"/>
            <w:textInput>
              <w:default w:val="XXX"/>
            </w:textInput>
          </w:ffData>
        </w:fldChar>
      </w:r>
      <w:bookmarkStart w:id="5" w:name="StdNo0"/>
      <w:r>
        <w:rPr>
          <w:rFonts w:ascii="Times New Roman"/>
        </w:rPr>
        <w:instrText xml:space="preserve"> FORMTEXT </w:instrText>
      </w:r>
      <w:r>
        <w:rPr>
          <w:rFonts w:ascii="Times New Roman"/>
        </w:rPr>
        <w:fldChar w:fldCharType="separate"/>
      </w:r>
      <w:r>
        <w:rPr>
          <w:rFonts w:hint="eastAsia" w:ascii="Times New Roman"/>
          <w:lang w:val="en-US" w:eastAsia="zh-CN"/>
        </w:rPr>
        <w:t>XXX</w:t>
      </w:r>
      <w:r>
        <w:rPr>
          <w:rFonts w:ascii="Times New Roman"/>
        </w:rPr>
        <w:fldChar w:fldCharType="end"/>
      </w:r>
      <w:bookmarkEnd w:id="5"/>
      <w:r>
        <w:rPr>
          <w:rFonts w:hAnsi="黑体"/>
        </w:rPr>
        <w:t xml:space="preserve"> </w:t>
      </w:r>
      <w:r>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Pr>
          <w:rFonts w:hAnsi="黑体"/>
        </w:rPr>
        <w:fldChar w:fldCharType="separate"/>
      </w:r>
      <w:r>
        <w:rPr>
          <w:rFonts w:hAnsi="黑体"/>
        </w:rPr>
        <w:t>XXXXX</w:t>
      </w:r>
      <w:r>
        <w:rPr>
          <w:rFonts w:hAnsi="黑体"/>
        </w:rPr>
        <w:fldChar w:fldCharType="end"/>
      </w:r>
      <w:bookmarkEnd w:id="6"/>
      <w:r>
        <w:rPr>
          <w:rFonts w:hAnsi="黑体"/>
        </w:rPr>
        <w:t>—</w:t>
      </w:r>
      <w:r>
        <w:rPr>
          <w:rFonts w:hAnsi="黑体"/>
        </w:rPr>
        <w:fldChar w:fldCharType="begin">
          <w:ffData>
            <w:name w:val="StdNo2"/>
            <w:enabled/>
            <w:calcOnExit w:val="0"/>
            <w:textInput>
              <w:default w:val="XXXX"/>
              <w:maxLength w:val="4"/>
            </w:textInput>
          </w:ffData>
        </w:fldChar>
      </w:r>
      <w:bookmarkStart w:id="7"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7"/>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78"/>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bookmarkStart w:id="8" w:name="DT"/>
            <w:r>
              <w:instrText xml:space="preserve"> FORMTEXT </w:instrText>
            </w:r>
            <w:r>
              <w:fldChar w:fldCharType="separate"/>
            </w:r>
            <w:r>
              <w:t>     </w:t>
            </w:r>
            <w:r>
              <w:fldChar w:fldCharType="end"/>
            </w:r>
            <w:bookmarkEnd w:id="8"/>
          </w:p>
        </w:tc>
      </w:tr>
    </w:tbl>
    <w:p>
      <w:pPr>
        <w:pStyle w:val="91"/>
        <w:rPr>
          <w:rFonts w:hAnsi="黑体"/>
        </w:rPr>
      </w:pPr>
    </w:p>
    <w:p>
      <w:pPr>
        <w:pStyle w:val="91"/>
        <w:rPr>
          <w:rFonts w:hAnsi="黑体"/>
        </w:rPr>
      </w:pPr>
    </w:p>
    <w:p>
      <w:pPr>
        <w:pStyle w:val="40"/>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lang w:eastAsia="zh-CN"/>
        </w:rPr>
        <w:t>企业标准体系框架</w:t>
      </w:r>
      <w:r>
        <w:fldChar w:fldCharType="end"/>
      </w:r>
      <w:bookmarkEnd w:id="9"/>
    </w:p>
    <w:p>
      <w:pPr>
        <w:pStyle w:val="39"/>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rPr>
          <w:rFonts w:hint="eastAsia"/>
          <w:lang w:eastAsia="zh-CN"/>
        </w:rPr>
        <w:t>F</w:t>
      </w:r>
      <w:r>
        <w:rPr>
          <w:rFonts w:hint="eastAsia"/>
          <w:lang w:val="en-US" w:eastAsia="zh-CN"/>
        </w:rPr>
        <w:t>ramework of enterprises standard system</w:t>
      </w:r>
      <w:r>
        <w:fldChar w:fldCharType="end"/>
      </w:r>
      <w:bookmarkEnd w:id="10"/>
    </w:p>
    <w:p>
      <w:pPr>
        <w:pStyle w:val="38"/>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rPr>
          <w:rFonts w:hint="eastAsia"/>
        </w:rPr>
        <w:t>点击此处添加与国际标准一致性程度的标识</w:t>
      </w:r>
      <w:r>
        <w:fldChar w:fldCharType="end"/>
      </w:r>
      <w:bookmarkEnd w:id="11"/>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7"/>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WJrpLVAAAACgEAAA8AAAAAAAAAAQAg&#10;AAAAIgAAAGRycy9kb3ducmV2LnhtbFBLAQIUABQAAAAIAIdO4kAFobqmnwEAAFkDAAAOAAAAAAAA&#10;AAEAIAAAACQBAABkcnMvZTJvRG9jLnhtbFBLBQYAAAAABgAGAFkBAAA1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4Yvl1gAAAAkBAAAPAAAAAAAAAAEA&#10;IAAAACIAAABkcnMvZG93bnJldi54bWxQSwECFAAUAAAACACHTuJA+Ujf7Z8BAABZAwAADgAAAAAA&#10;AAABACAAAAAlAQAAZHJzL2Uyb0RvYy54bWxQSwUGAAAAAAYABgBZAQAANgUAAAAA&#10;">
                      <v:fill on="t" focussize="0,0"/>
                      <v:stroke on="f"/>
                      <v:imagedata o:title=""/>
                      <o:lock v:ext="edit" aspectratio="f"/>
                    </v:rect>
                  </w:pict>
                </mc:Fallback>
              </mc:AlternateContent>
            </w:r>
            <w:r>
              <w:fldChar w:fldCharType="begin">
                <w:ffData>
                  <w:name w:val="LB"/>
                  <w:enabled/>
                  <w:calcOnExit w:val="0"/>
                  <w:ddList>
                    <w:result w:val="1"/>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6"/>
            </w:pPr>
            <w:r>
              <w:fldChar w:fldCharType="begin">
                <w:ffData>
                  <w:name w:val="WCRQ"/>
                  <w:enabled/>
                  <w:calcOnExit w:val="0"/>
                  <w:textInput/>
                </w:ffData>
              </w:fldChar>
            </w:r>
            <w:bookmarkStart w:id="13" w:name="WCRQ"/>
            <w:r>
              <w:instrText xml:space="preserve"> FORMTEXT </w:instrText>
            </w:r>
            <w:r>
              <w:fldChar w:fldCharType="separate"/>
            </w:r>
            <w:r>
              <w:t>     </w:t>
            </w:r>
            <w:r>
              <w:fldChar w:fldCharType="end"/>
            </w:r>
            <w:bookmarkEnd w:id="13"/>
          </w:p>
        </w:tc>
      </w:tr>
    </w:tbl>
    <w:p>
      <w:pPr>
        <w:pStyle w:val="124"/>
      </w:pPr>
      <w:r>
        <w:rPr>
          <w:rFonts w:ascii="黑体"/>
        </w:rPr>
        <w:fldChar w:fldCharType="begin">
          <w:ffData>
            <w:name w:val="FY"/>
            <w:enabled/>
            <w:calcOnExit w:val="0"/>
            <w:textInput>
              <w:default w:val="XXXX"/>
              <w:maxLength w:val="4"/>
            </w:textInput>
          </w:ffData>
        </w:fldChar>
      </w:r>
      <w:bookmarkStart w:id="14"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5"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CZXxPj&#10;5gEAANwDAAAOAAAAAAAAAAEAIAAAACUBAABkcnMvZTJvRG9jLnhtbFBLBQYAAAAABgAGAFkBAAB9&#10;BQAAAAA=&#10;">
                <v:fill on="f" focussize="0,0"/>
                <v:stroke color="#000000" joinstyle="round"/>
                <v:imagedata o:title=""/>
                <o:lock v:ext="edit" aspectratio="f"/>
                <w10:anchorlock/>
              </v:line>
            </w:pict>
          </mc:Fallback>
        </mc:AlternateContent>
      </w:r>
    </w:p>
    <w:p>
      <w:pPr>
        <w:pStyle w:val="80"/>
      </w:pPr>
      <w:r>
        <w:rPr>
          <w:rFonts w:ascii="黑体"/>
        </w:rPr>
        <w:fldChar w:fldCharType="begin">
          <w:ffData>
            <w:name w:val="SY"/>
            <w:enabled/>
            <w:calcOnExit w:val="0"/>
            <w:textInput>
              <w:default w:val="XXXX"/>
              <w:maxLength w:val="4"/>
            </w:textInput>
          </w:ffData>
        </w:fldChar>
      </w:r>
      <w:bookmarkStart w:id="16"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7"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8"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68"/>
      </w:pPr>
      <w:r>
        <w:fldChar w:fldCharType="begin">
          <w:ffData>
            <w:name w:val="fm"/>
            <w:enabled/>
            <w:calcOnExit w:val="0"/>
            <w:textInput/>
          </w:ffData>
        </w:fldChar>
      </w:r>
      <w:bookmarkStart w:id="19" w:name="fm"/>
      <w:r>
        <w:instrText xml:space="preserve"> FORMTEXT </w:instrText>
      </w:r>
      <w:r>
        <w:fldChar w:fldCharType="separate"/>
      </w:r>
      <w:r>
        <w:rPr>
          <w:rFonts w:hint="eastAsia"/>
          <w:lang w:val="en-US" w:eastAsia="zh-CN"/>
        </w:rPr>
        <w:t>XX</w:t>
      </w:r>
      <w:r>
        <w:rPr>
          <w:rFonts w:hint="eastAsia"/>
        </w:rPr>
        <w:t>银行股份有限公司</w:t>
      </w:r>
      <w:r>
        <w:fldChar w:fldCharType="end"/>
      </w:r>
      <w:bookmarkEnd w:id="19"/>
      <w:r>
        <w:rPr>
          <w:rFonts w:hAnsi="黑体"/>
        </w:rPr>
        <w:t>   </w:t>
      </w:r>
      <w:r>
        <w:rPr>
          <w:rStyle w:val="131"/>
          <w:rFonts w:hint="eastAsia"/>
        </w:rPr>
        <w:t>发布</w:t>
      </w:r>
    </w:p>
    <w:p>
      <w:pPr>
        <w:pStyle w:val="20"/>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438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QeJf1wAA&#10;AAkBAAAPAAAAAAAAAAEAIAAAACIAAABkcnMvZG93bnJldi54bWxQSwECFAAUAAAACACHTuJAr+V3&#10;d+YBAADcAwAADgAAAAAAAAABACAAAAAmAQAAZHJzL2Uyb0RvYy54bWxQSwUGAAAAAAYABgBZAQAA&#10;fgUAAAAA&#10;">
                <v:fill on="f" focussize="0,0"/>
                <v:stroke color="#000000" joinstyle="round"/>
                <v:imagedata o:title=""/>
                <o:lock v:ext="edit" aspectratio="f"/>
              </v:line>
            </w:pict>
          </mc:Fallback>
        </mc:AlternateContent>
      </w:r>
    </w:p>
    <w:p>
      <w:pPr>
        <w:pStyle w:val="112"/>
        <w:bidi w:val="0"/>
        <w:rPr>
          <w:rFonts w:hint="eastAsia"/>
          <w:lang w:eastAsia="zh-CN"/>
        </w:rPr>
      </w:pPr>
      <w:bookmarkStart w:id="20" w:name="_Toc57303974"/>
      <w:bookmarkStart w:id="21" w:name="_Toc57304390"/>
      <w:r>
        <w:rPr>
          <w:rFonts w:hint="eastAsia"/>
          <w:lang w:eastAsia="zh-CN"/>
        </w:rPr>
        <w:t>目</w:t>
      </w:r>
      <w:bookmarkStart w:id="22" w:name="BKML"/>
      <w:r>
        <w:rPr>
          <w:rFonts w:hint="eastAsia"/>
          <w:lang w:eastAsia="zh-CN"/>
        </w:rPr>
        <w:t>  次</w:t>
      </w:r>
      <w:bookmarkEnd w:id="22"/>
    </w:p>
    <w:p>
      <w:pPr>
        <w:pStyle w:val="16"/>
        <w:tabs>
          <w:tab w:val="right" w:leader="dot" w:pos="9354"/>
          <w:tab w:val="clear" w:pos="9242"/>
        </w:tabs>
      </w:pPr>
      <w:r>
        <w:rPr>
          <w:rFonts w:hint="eastAsia"/>
          <w:lang w:eastAsia="zh-CN"/>
        </w:rPr>
        <w:fldChar w:fldCharType="begin" w:fldLock="1"/>
      </w:r>
      <w:r>
        <w:rPr>
          <w:rFonts w:hint="eastAsia"/>
          <w:lang w:eastAsia="zh-CN"/>
        </w:rPr>
        <w:instrText xml:space="preserve"> TOC \h \z \t"前言、引言标题,1,参考文献、索引标题,1,章标题,1,参考文献,1,附录标识,1,一级条标题, 3,附录章标题, 3" \* MERGEFORMAT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_Toc24098 </w:instrText>
      </w:r>
      <w:r>
        <w:rPr>
          <w:rFonts w:hint="eastAsia"/>
          <w:lang w:eastAsia="zh-CN"/>
        </w:rPr>
        <w:fldChar w:fldCharType="separate"/>
      </w:r>
      <w:r>
        <w:rPr>
          <w:rFonts w:hint="eastAsia"/>
        </w:rPr>
        <w:t>前</w:t>
      </w:r>
      <w:r>
        <w:rPr>
          <w:rFonts w:hAnsi="黑体"/>
        </w:rPr>
        <w:t>  </w:t>
      </w:r>
      <w:r>
        <w:rPr>
          <w:rFonts w:hint="eastAsia"/>
        </w:rPr>
        <w:t>言</w:t>
      </w:r>
      <w:r>
        <w:tab/>
      </w:r>
      <w:r>
        <w:fldChar w:fldCharType="begin"/>
      </w:r>
      <w:r>
        <w:instrText xml:space="preserve"> PAGEREF _Toc24098 \h </w:instrText>
      </w:r>
      <w:r>
        <w:fldChar w:fldCharType="separate"/>
      </w:r>
      <w:r>
        <w:t>II</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_Toc2363 </w:instrText>
      </w:r>
      <w:r>
        <w:rPr>
          <w:rFonts w:hint="eastAsia"/>
          <w:lang w:eastAsia="zh-CN"/>
        </w:rPr>
        <w:fldChar w:fldCharType="separate"/>
      </w:r>
      <w:r>
        <w:rPr>
          <w:rFonts w:hint="eastAsia"/>
        </w:rPr>
        <w:t>引</w:t>
      </w:r>
      <w:r>
        <w:rPr>
          <w:rFonts w:hAnsi="黑体"/>
        </w:rPr>
        <w:t>  </w:t>
      </w:r>
      <w:r>
        <w:rPr>
          <w:rFonts w:hint="eastAsia"/>
        </w:rPr>
        <w:t>言</w:t>
      </w:r>
      <w:r>
        <w:tab/>
      </w:r>
      <w:r>
        <w:fldChar w:fldCharType="begin"/>
      </w:r>
      <w:r>
        <w:instrText xml:space="preserve"> PAGEREF _Toc2363 \h </w:instrText>
      </w:r>
      <w:r>
        <w:fldChar w:fldCharType="separate"/>
      </w:r>
      <w:r>
        <w:t>III</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_Toc6866 </w:instrText>
      </w:r>
      <w:r>
        <w:rPr>
          <w:rFonts w:hint="eastAsia"/>
          <w:lang w:eastAsia="zh-CN"/>
        </w:rPr>
        <w:fldChar w:fldCharType="separate"/>
      </w:r>
      <w:r>
        <w:rPr>
          <w:rFonts w:hint="eastAsia" w:ascii="黑体" w:hAnsi="Times New Roman" w:eastAsia="黑体"/>
          <w:i w:val="0"/>
          <w:szCs w:val="21"/>
        </w:rPr>
        <w:t>1</w:t>
      </w:r>
      <w:r>
        <w:rPr>
          <w:rFonts w:hint="eastAsia" w:ascii="黑体" w:hAnsi="Times New Roman" w:eastAsia="黑体"/>
          <w:i w:val="0"/>
          <w:szCs w:val="21"/>
          <w:lang w:eastAsia="zh-CN"/>
        </w:rPr>
        <w:t>　</w:t>
      </w:r>
      <w:r>
        <w:rPr>
          <w:rFonts w:hint="eastAsia"/>
        </w:rPr>
        <w:t>范围</w:t>
      </w:r>
      <w:r>
        <w:tab/>
      </w:r>
      <w:r>
        <w:fldChar w:fldCharType="begin"/>
      </w:r>
      <w:r>
        <w:instrText xml:space="preserve"> PAGEREF _Toc6866 \h </w:instrText>
      </w:r>
      <w:r>
        <w:fldChar w:fldCharType="separate"/>
      </w:r>
      <w:r>
        <w:t>1</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_Toc3612 </w:instrText>
      </w:r>
      <w:r>
        <w:rPr>
          <w:rFonts w:hint="eastAsia"/>
          <w:lang w:eastAsia="zh-CN"/>
        </w:rPr>
        <w:fldChar w:fldCharType="separate"/>
      </w:r>
      <w:r>
        <w:rPr>
          <w:rFonts w:hint="eastAsia" w:ascii="黑体" w:hAnsi="Times New Roman" w:eastAsia="黑体"/>
          <w:i w:val="0"/>
          <w:szCs w:val="21"/>
        </w:rPr>
        <w:t>2</w:t>
      </w:r>
      <w:r>
        <w:rPr>
          <w:rFonts w:hint="eastAsia" w:ascii="黑体" w:hAnsi="Times New Roman" w:eastAsia="黑体"/>
          <w:i w:val="0"/>
          <w:szCs w:val="21"/>
          <w:lang w:eastAsia="zh-CN"/>
        </w:rPr>
        <w:t>　</w:t>
      </w:r>
      <w:r>
        <w:rPr>
          <w:rFonts w:hint="eastAsia"/>
        </w:rPr>
        <w:t>规范性引用文件</w:t>
      </w:r>
      <w:r>
        <w:tab/>
      </w:r>
      <w:r>
        <w:fldChar w:fldCharType="begin"/>
      </w:r>
      <w:r>
        <w:instrText xml:space="preserve"> PAGEREF _Toc3612 \h </w:instrText>
      </w:r>
      <w:r>
        <w:fldChar w:fldCharType="separate"/>
      </w:r>
      <w:r>
        <w:t>1</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_Toc23041 </w:instrText>
      </w:r>
      <w:r>
        <w:rPr>
          <w:rFonts w:hint="eastAsia"/>
          <w:lang w:eastAsia="zh-CN"/>
        </w:rPr>
        <w:fldChar w:fldCharType="separate"/>
      </w:r>
      <w:r>
        <w:rPr>
          <w:rFonts w:hint="eastAsia" w:ascii="黑体" w:hAnsi="Times New Roman" w:eastAsia="黑体"/>
          <w:i w:val="0"/>
          <w:szCs w:val="21"/>
        </w:rPr>
        <w:t>3</w:t>
      </w:r>
      <w:r>
        <w:rPr>
          <w:rFonts w:hint="eastAsia" w:ascii="黑体" w:hAnsi="Times New Roman" w:eastAsia="黑体"/>
          <w:i w:val="0"/>
          <w:szCs w:val="21"/>
          <w:lang w:eastAsia="zh-CN"/>
        </w:rPr>
        <w:t>　</w:t>
      </w:r>
      <w:r>
        <w:rPr>
          <w:rFonts w:hint="eastAsia"/>
        </w:rPr>
        <w:t>术语和定义</w:t>
      </w:r>
      <w:r>
        <w:tab/>
      </w:r>
      <w:r>
        <w:fldChar w:fldCharType="begin"/>
      </w:r>
      <w:r>
        <w:instrText xml:space="preserve"> PAGEREF _Toc23041 \h </w:instrText>
      </w:r>
      <w:r>
        <w:fldChar w:fldCharType="separate"/>
      </w:r>
      <w:r>
        <w:t>1</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_Toc27446 </w:instrText>
      </w:r>
      <w:r>
        <w:rPr>
          <w:rFonts w:hint="eastAsia"/>
          <w:lang w:eastAsia="zh-CN"/>
        </w:rPr>
        <w:fldChar w:fldCharType="separate"/>
      </w:r>
      <w:r>
        <w:rPr>
          <w:rFonts w:hint="eastAsia" w:ascii="黑体" w:hAnsi="Times New Roman" w:eastAsia="黑体"/>
          <w:i w:val="0"/>
          <w:szCs w:val="21"/>
        </w:rPr>
        <w:t>4</w:t>
      </w:r>
      <w:r>
        <w:rPr>
          <w:rFonts w:hint="eastAsia" w:ascii="黑体" w:hAnsi="Times New Roman" w:eastAsia="黑体"/>
          <w:i w:val="0"/>
          <w:szCs w:val="21"/>
          <w:lang w:eastAsia="zh-CN"/>
        </w:rPr>
        <w:t>　</w:t>
      </w:r>
      <w:r>
        <w:tab/>
      </w:r>
      <w:r>
        <w:fldChar w:fldCharType="begin"/>
      </w:r>
      <w:r>
        <w:instrText xml:space="preserve"> PAGEREF _Toc27446 \h </w:instrText>
      </w:r>
      <w:r>
        <w:fldChar w:fldCharType="separate"/>
      </w:r>
      <w:r>
        <w:t>1</w:t>
      </w:r>
      <w:r>
        <w:fldChar w:fldCharType="end"/>
      </w:r>
      <w:r>
        <w:rPr>
          <w:rFonts w:hint="eastAsia"/>
          <w:lang w:eastAsia="zh-CN"/>
        </w:rPr>
        <w:fldChar w:fldCharType="end"/>
      </w:r>
    </w:p>
    <w:p>
      <w:pPr>
        <w:pStyle w:val="16"/>
        <w:tabs>
          <w:tab w:val="right" w:leader="dot" w:pos="9354"/>
          <w:tab w:val="clear" w:pos="9242"/>
        </w:tabs>
      </w:pPr>
      <w:r>
        <w:rPr>
          <w:rFonts w:hint="eastAsia"/>
          <w:lang w:eastAsia="zh-CN"/>
        </w:rPr>
        <w:fldChar w:fldCharType="begin"/>
      </w:r>
      <w:r>
        <w:rPr>
          <w:rFonts w:hint="eastAsia"/>
          <w:lang w:eastAsia="zh-CN"/>
        </w:rPr>
        <w:instrText xml:space="preserve"> HYPERLINK \l _Toc26202 </w:instrText>
      </w:r>
      <w:r>
        <w:rPr>
          <w:rFonts w:hint="eastAsia"/>
          <w:lang w:eastAsia="zh-CN"/>
        </w:rPr>
        <w:fldChar w:fldCharType="separate"/>
      </w:r>
      <w:r>
        <w:rPr>
          <w:rFonts w:hint="eastAsia" w:ascii="黑体" w:hAnsi="Times New Roman" w:eastAsia="黑体"/>
          <w:i w:val="0"/>
          <w:spacing w:val="0"/>
          <w:w w:val="100"/>
        </w:rPr>
        <w:t>附录A</w:t>
      </w:r>
      <w:r>
        <w:rPr>
          <w:rFonts w:hint="eastAsia" w:ascii="黑体" w:hAnsi="Times New Roman" w:eastAsia="黑体"/>
          <w:i w:val="0"/>
          <w:spacing w:val="0"/>
          <w:w w:val="100"/>
          <w:lang w:eastAsia="zh-CN"/>
        </w:rPr>
        <w:t>　</w:t>
      </w:r>
      <w:r>
        <w:t xml:space="preserve"> </w:t>
      </w:r>
      <w:r>
        <w:rPr>
          <w:rFonts w:hint="eastAsia"/>
        </w:rPr>
        <w:t>（规范性）</w:t>
      </w:r>
      <w:r>
        <w:t xml:space="preserve"> </w:t>
      </w:r>
      <w:r>
        <w:rPr>
          <w:rFonts w:hint="eastAsia"/>
        </w:rPr>
        <w:t>规范性附录</w:t>
      </w:r>
      <w:r>
        <w:tab/>
      </w:r>
      <w:r>
        <w:fldChar w:fldCharType="begin"/>
      </w:r>
      <w:r>
        <w:instrText xml:space="preserve"> PAGEREF _Toc26202 \h </w:instrText>
      </w:r>
      <w:r>
        <w:fldChar w:fldCharType="separate"/>
      </w:r>
      <w:r>
        <w:t>2</w:t>
      </w:r>
      <w:r>
        <w:fldChar w:fldCharType="end"/>
      </w:r>
      <w:r>
        <w:rPr>
          <w:rFonts w:hint="eastAsia"/>
          <w:lang w:eastAsia="zh-CN"/>
        </w:rPr>
        <w:fldChar w:fldCharType="end"/>
      </w:r>
    </w:p>
    <w:p>
      <w:pPr>
        <w:pStyle w:val="16"/>
        <w:tabs>
          <w:tab w:val="right" w:leader="dot" w:pos="9354"/>
          <w:tab w:val="clear" w:pos="9242"/>
        </w:tabs>
        <w:rPr>
          <w:spacing w:val="0"/>
        </w:rPr>
      </w:pPr>
      <w:r>
        <w:rPr>
          <w:rFonts w:hint="eastAsia"/>
          <w:spacing w:val="0"/>
          <w:lang w:eastAsia="zh-CN"/>
        </w:rPr>
        <w:fldChar w:fldCharType="begin"/>
      </w:r>
      <w:r>
        <w:rPr>
          <w:rFonts w:hint="eastAsia"/>
          <w:spacing w:val="0"/>
          <w:lang w:eastAsia="zh-CN"/>
        </w:rPr>
        <w:instrText xml:space="preserve"> HYPERLINK \l _Toc86 </w:instrText>
      </w:r>
      <w:r>
        <w:rPr>
          <w:rFonts w:hint="eastAsia"/>
          <w:spacing w:val="0"/>
          <w:lang w:eastAsia="zh-CN"/>
        </w:rPr>
        <w:fldChar w:fldCharType="separate"/>
      </w:r>
      <w:r>
        <w:rPr>
          <w:rFonts w:hint="eastAsia" w:ascii="黑体" w:hAnsi="Times New Roman" w:eastAsia="黑体"/>
          <w:i w:val="0"/>
          <w:spacing w:val="0"/>
          <w:w w:val="100"/>
        </w:rPr>
        <w:t>附录B</w:t>
      </w:r>
      <w:r>
        <w:rPr>
          <w:rFonts w:hint="eastAsia" w:ascii="黑体" w:hAnsi="Times New Roman" w:eastAsia="黑体"/>
          <w:i w:val="0"/>
          <w:spacing w:val="0"/>
          <w:w w:val="100"/>
          <w:lang w:eastAsia="zh-CN"/>
        </w:rPr>
        <w:t>　</w:t>
      </w:r>
      <w:r>
        <w:rPr>
          <w:spacing w:val="0"/>
        </w:rPr>
        <w:t xml:space="preserve"> </w:t>
      </w:r>
      <w:r>
        <w:rPr>
          <w:rFonts w:hint="eastAsia"/>
          <w:spacing w:val="0"/>
        </w:rPr>
        <w:t>（资料性）</w:t>
      </w:r>
      <w:r>
        <w:rPr>
          <w:spacing w:val="0"/>
        </w:rPr>
        <w:t xml:space="preserve"> </w:t>
      </w:r>
      <w:r>
        <w:rPr>
          <w:rFonts w:hint="eastAsia"/>
          <w:spacing w:val="0"/>
        </w:rPr>
        <w:t>资料性附录</w:t>
      </w:r>
      <w:r>
        <w:rPr>
          <w:spacing w:val="0"/>
        </w:rPr>
        <w:tab/>
      </w:r>
      <w:r>
        <w:rPr>
          <w:spacing w:val="0"/>
        </w:rPr>
        <w:fldChar w:fldCharType="begin"/>
      </w:r>
      <w:r>
        <w:rPr>
          <w:spacing w:val="0"/>
        </w:rPr>
        <w:instrText xml:space="preserve"> PAGEREF _Toc86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16"/>
        <w:tabs>
          <w:tab w:val="right" w:leader="dot" w:pos="9354"/>
          <w:tab w:val="clear" w:pos="9242"/>
        </w:tabs>
        <w:rPr>
          <w:spacing w:val="0"/>
        </w:rPr>
      </w:pPr>
      <w:r>
        <w:rPr>
          <w:rFonts w:hint="eastAsia"/>
          <w:spacing w:val="0"/>
          <w:lang w:eastAsia="zh-CN"/>
        </w:rPr>
        <w:fldChar w:fldCharType="begin"/>
      </w:r>
      <w:r>
        <w:rPr>
          <w:rFonts w:hint="eastAsia"/>
          <w:spacing w:val="0"/>
          <w:lang w:eastAsia="zh-CN"/>
        </w:rPr>
        <w:instrText xml:space="preserve"> HYPERLINK \l _Toc2326 </w:instrText>
      </w:r>
      <w:r>
        <w:rPr>
          <w:rFonts w:hint="eastAsia"/>
          <w:spacing w:val="0"/>
          <w:lang w:eastAsia="zh-CN"/>
        </w:rPr>
        <w:fldChar w:fldCharType="separate"/>
      </w:r>
      <w:r>
        <w:rPr>
          <w:rFonts w:hint="eastAsia"/>
          <w:spacing w:val="0"/>
        </w:rPr>
        <w:t>参</w:t>
      </w:r>
      <w:r>
        <w:rPr>
          <w:rFonts w:hAnsi="黑体"/>
          <w:spacing w:val="0"/>
        </w:rPr>
        <w:t> </w:t>
      </w:r>
      <w:r>
        <w:rPr>
          <w:rFonts w:hint="eastAsia"/>
          <w:spacing w:val="0"/>
        </w:rPr>
        <w:t>考</w:t>
      </w:r>
      <w:r>
        <w:rPr>
          <w:rFonts w:hAnsi="黑体"/>
          <w:spacing w:val="0"/>
        </w:rPr>
        <w:t> </w:t>
      </w:r>
      <w:r>
        <w:rPr>
          <w:rFonts w:hint="eastAsia"/>
          <w:spacing w:val="0"/>
        </w:rPr>
        <w:t>文</w:t>
      </w:r>
      <w:r>
        <w:rPr>
          <w:rFonts w:hAnsi="黑体"/>
          <w:spacing w:val="0"/>
        </w:rPr>
        <w:t> </w:t>
      </w:r>
      <w:r>
        <w:rPr>
          <w:rFonts w:hint="eastAsia"/>
          <w:spacing w:val="0"/>
        </w:rPr>
        <w:t>献</w:t>
      </w:r>
      <w:r>
        <w:rPr>
          <w:spacing w:val="0"/>
        </w:rPr>
        <w:tab/>
      </w:r>
      <w:r>
        <w:rPr>
          <w:spacing w:val="0"/>
        </w:rPr>
        <w:fldChar w:fldCharType="begin"/>
      </w:r>
      <w:r>
        <w:rPr>
          <w:spacing w:val="0"/>
        </w:rPr>
        <w:instrText xml:space="preserve"> PAGEREF _Toc2326 \h </w:instrText>
      </w:r>
      <w:r>
        <w:rPr>
          <w:spacing w:val="0"/>
        </w:rPr>
        <w:fldChar w:fldCharType="separate"/>
      </w:r>
      <w:r>
        <w:rPr>
          <w:spacing w:val="0"/>
        </w:rPr>
        <w:t>4</w:t>
      </w:r>
      <w:r>
        <w:rPr>
          <w:spacing w:val="0"/>
        </w:rPr>
        <w:fldChar w:fldCharType="end"/>
      </w:r>
      <w:r>
        <w:rPr>
          <w:rFonts w:hint="eastAsia"/>
          <w:spacing w:val="0"/>
          <w:lang w:eastAsia="zh-CN"/>
        </w:rPr>
        <w:fldChar w:fldCharType="end"/>
      </w:r>
    </w:p>
    <w:p>
      <w:pPr>
        <w:pStyle w:val="20"/>
        <w:rPr>
          <w:rFonts w:hint="eastAsia"/>
          <w:lang w:eastAsia="zh-CN"/>
        </w:rPr>
      </w:pPr>
      <w:r>
        <w:rPr>
          <w:rFonts w:hint="eastAsia"/>
          <w:lang w:eastAsia="zh-CN"/>
        </w:rPr>
        <w:fldChar w:fldCharType="end"/>
      </w:r>
    </w:p>
    <w:p>
      <w:pPr>
        <w:pStyle w:val="106"/>
        <w:rPr>
          <w:rFonts w:hint="eastAsia"/>
        </w:rPr>
      </w:pPr>
      <w:bookmarkStart w:id="23" w:name="_Toc24098"/>
      <w:r>
        <w:rPr>
          <w:rFonts w:hint="eastAsia"/>
        </w:rPr>
        <w:t>前</w:t>
      </w:r>
      <w:bookmarkStart w:id="24" w:name="BKQY"/>
      <w:r>
        <w:rPr>
          <w:rFonts w:hAnsi="黑体"/>
        </w:rPr>
        <w:t>  </w:t>
      </w:r>
      <w:r>
        <w:rPr>
          <w:rFonts w:hint="eastAsia"/>
        </w:rPr>
        <w:t>言</w:t>
      </w:r>
      <w:bookmarkEnd w:id="20"/>
      <w:bookmarkEnd w:id="21"/>
      <w:bookmarkEnd w:id="23"/>
      <w:bookmarkEnd w:id="24"/>
    </w:p>
    <w:p>
      <w:pPr>
        <w:pStyle w:val="20"/>
        <w:rPr>
          <w:rFonts w:hint="eastAsia"/>
        </w:rPr>
      </w:pPr>
      <w:r>
        <w:rPr>
          <w:rFonts w:hint="eastAsia"/>
        </w:rPr>
        <w:t>本文件按照GB/T　1.1—2020《标准化工作导则　第1部分：标准化文件的结构和起草规则》的规定起草。</w:t>
      </w:r>
    </w:p>
    <w:p>
      <w:pPr>
        <w:pStyle w:val="20"/>
        <w:rPr>
          <w:rFonts w:hint="eastAsia"/>
        </w:rPr>
      </w:pPr>
      <w:r>
        <w:rPr>
          <w:rFonts w:hint="eastAsia"/>
        </w:rPr>
        <w:t>本文件由</w:t>
      </w:r>
      <w:r>
        <w:rPr>
          <w:rFonts w:hint="eastAsia"/>
          <w:lang w:val="en-US" w:eastAsia="zh-CN"/>
        </w:rPr>
        <w:t>XXXXXX</w:t>
      </w:r>
      <w:r>
        <w:rPr>
          <w:rFonts w:hint="eastAsia"/>
        </w:rPr>
        <w:t>银行股份有限公司</w:t>
      </w:r>
      <w:r>
        <w:rPr>
          <w:rFonts w:hint="eastAsia"/>
          <w:lang w:val="en-US" w:eastAsia="zh-CN"/>
        </w:rPr>
        <w:t>XXXX</w:t>
      </w:r>
      <w:r>
        <w:rPr>
          <w:rFonts w:hint="eastAsia"/>
        </w:rPr>
        <w:t>提出。</w:t>
      </w:r>
    </w:p>
    <w:p>
      <w:pPr>
        <w:pStyle w:val="20"/>
        <w:rPr>
          <w:rFonts w:hint="eastAsia"/>
        </w:rPr>
      </w:pPr>
      <w:r>
        <w:rPr>
          <w:rFonts w:hint="eastAsia"/>
        </w:rPr>
        <w:t>本文件由</w:t>
      </w:r>
      <w:r>
        <w:rPr>
          <w:rFonts w:hint="eastAsia"/>
          <w:lang w:val="en-US" w:eastAsia="zh-CN"/>
        </w:rPr>
        <w:t>XXXXXX</w:t>
      </w:r>
      <w:r>
        <w:rPr>
          <w:rFonts w:hint="eastAsia"/>
        </w:rPr>
        <w:t>银行股份有限公司</w:t>
      </w:r>
      <w:r>
        <w:rPr>
          <w:rFonts w:hint="eastAsia"/>
          <w:lang w:val="en-US" w:eastAsia="zh-CN"/>
        </w:rPr>
        <w:t>XXXX</w:t>
      </w:r>
      <w:r>
        <w:rPr>
          <w:rFonts w:hint="eastAsia"/>
        </w:rPr>
        <w:t>归口管理。</w:t>
      </w:r>
    </w:p>
    <w:p>
      <w:pPr>
        <w:pStyle w:val="20"/>
        <w:rPr>
          <w:rFonts w:hint="eastAsia"/>
        </w:rPr>
      </w:pPr>
      <w:r>
        <w:rPr>
          <w:rFonts w:hint="eastAsia"/>
        </w:rPr>
        <w:t>本文件起草单位：XXX。</w:t>
      </w:r>
    </w:p>
    <w:p>
      <w:pPr>
        <w:pStyle w:val="20"/>
        <w:rPr>
          <w:rFonts w:hint="eastAsia"/>
        </w:rPr>
      </w:pPr>
      <w:r>
        <w:rPr>
          <w:rFonts w:hint="eastAsia"/>
        </w:rPr>
        <w:t>本文件主要起草人：XXX、XXX(领头人)、XXX、XXX（执笔人）、XXX、XXX。</w:t>
      </w:r>
    </w:p>
    <w:p>
      <w:pPr>
        <w:pStyle w:val="20"/>
        <w:rPr>
          <w:rFonts w:hint="eastAsia"/>
        </w:rPr>
      </w:pPr>
      <w:r>
        <w:rPr>
          <w:rFonts w:hint="eastAsia"/>
        </w:rPr>
        <w:t>本文件为首次发布。</w:t>
      </w:r>
    </w:p>
    <w:p>
      <w:pPr>
        <w:pStyle w:val="106"/>
        <w:rPr>
          <w:rFonts w:hint="eastAsia"/>
        </w:rPr>
      </w:pPr>
      <w:bookmarkStart w:id="25" w:name="_Toc57303975"/>
      <w:bookmarkStart w:id="26" w:name="_Toc2363"/>
      <w:bookmarkStart w:id="27" w:name="_Toc57304391"/>
      <w:r>
        <w:rPr>
          <w:rFonts w:hint="eastAsia"/>
        </w:rPr>
        <w:t>引</w:t>
      </w:r>
      <w:bookmarkStart w:id="28" w:name="BKYY"/>
      <w:r>
        <w:rPr>
          <w:rFonts w:hAnsi="黑体"/>
        </w:rPr>
        <w:t>  </w:t>
      </w:r>
      <w:r>
        <w:rPr>
          <w:rFonts w:hint="eastAsia"/>
        </w:rPr>
        <w:t>言</w:t>
      </w:r>
      <w:bookmarkEnd w:id="25"/>
      <w:bookmarkEnd w:id="26"/>
      <w:bookmarkEnd w:id="27"/>
      <w:bookmarkEnd w:id="28"/>
    </w:p>
    <w:p>
      <w:pPr>
        <w:pStyle w:val="20"/>
        <w:rPr>
          <w:rFonts w:hint="eastAsia"/>
        </w:rPr>
      </w:pPr>
      <w:r>
        <w:rPr>
          <w:rFonts w:hint="eastAsia"/>
        </w:rPr>
        <w:t>SF_ITD.1.1 【描述赋值：在没有本文件时，存在什么问题 /* 问题尽可能从技术视角进行描述 */】。</w:t>
      </w:r>
    </w:p>
    <w:p>
      <w:pPr>
        <w:pStyle w:val="20"/>
        <w:rPr>
          <w:rFonts w:hint="eastAsia"/>
        </w:rPr>
      </w:pPr>
      <w:r>
        <w:rPr>
          <w:rFonts w:hint="eastAsia"/>
        </w:rPr>
        <w:t>SF_ITD.2.1 【描述赋值：概述本文件是如何解决面临问题的 /* 尽可能从技术视角正面概括说明 */】。</w:t>
      </w:r>
    </w:p>
    <w:p>
      <w:pPr>
        <w:pStyle w:val="20"/>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SF_ITD.3.1 【描述赋值：概述本文件给谁带来什么好处 /* 尽可能从技术视角正面概括说明 */】。</w:t>
      </w:r>
    </w:p>
    <w:p>
      <w:pPr>
        <w:pStyle w:val="112"/>
        <w:rPr>
          <w:rFonts w:hint="eastAsia"/>
        </w:rPr>
      </w:pPr>
      <w:r>
        <w:rPr>
          <w:rFonts w:hint="eastAsia"/>
        </w:rPr>
        <w:t>标</w:t>
      </w:r>
      <w:bookmarkStart w:id="29" w:name="StandardName"/>
      <w:r>
        <w:rPr>
          <w:rFonts w:hint="eastAsia"/>
        </w:rPr>
        <w:t>准名称</w:t>
      </w:r>
      <w:bookmarkEnd w:id="29"/>
    </w:p>
    <w:p>
      <w:pPr>
        <w:pStyle w:val="46"/>
        <w:rPr>
          <w:rFonts w:hint="eastAsia"/>
        </w:rPr>
      </w:pPr>
      <w:bookmarkStart w:id="30" w:name="_Toc57303976"/>
      <w:bookmarkStart w:id="31" w:name="_Toc57304392"/>
      <w:bookmarkStart w:id="32" w:name="_Toc6866"/>
      <w:r>
        <w:rPr>
          <w:rFonts w:hint="eastAsia"/>
        </w:rPr>
        <w:t>范围</w:t>
      </w:r>
      <w:bookmarkEnd w:id="30"/>
      <w:bookmarkEnd w:id="31"/>
      <w:bookmarkEnd w:id="32"/>
    </w:p>
    <w:p>
      <w:pPr>
        <w:pStyle w:val="20"/>
        <w:rPr>
          <w:rFonts w:hint="eastAsia"/>
        </w:rPr>
      </w:pPr>
      <w:r>
        <w:rPr>
          <w:rFonts w:hint="eastAsia"/>
        </w:rPr>
        <w:t>SF_SCP.1.1 本文件【多选：“界定了在【描述赋值：本文件实施者的内部自称】标准化工作中涉及到的术语”，“规定了企业标准体系的构建策略”，“确立了企业标准体系的定位”，“描述了【描述赋值：本文件实施者的内部自称】适用的标准体系维度并给出了标准体系框架”，“给出了标准体系中的明细表的组织方式”，【描述赋值：其它在标准体系中规定的内容】】。</w:t>
      </w:r>
    </w:p>
    <w:p>
      <w:pPr>
        <w:pStyle w:val="20"/>
        <w:rPr>
          <w:rFonts w:hint="eastAsia"/>
        </w:rPr>
      </w:pPr>
      <w:r>
        <w:rPr>
          <w:rFonts w:hint="eastAsia"/>
        </w:rPr>
        <w:t>SF_SCP.2.1 本文件适用于【单选：“【描述赋值：本文件实施者的内部自称】”，“【描述赋值：本文件实施者的内部自称】总行”，“【描述赋值：本文件实施者的内部自称】总行与境内分支机构”，“【描述赋值：本文件实施者的内部自称的内部条线】”，“【描述赋值：本文件实施者的内部自称的内部条线】”，【描述赋值：其它适用的情况】】。</w:t>
      </w:r>
    </w:p>
    <w:p>
      <w:pPr>
        <w:pStyle w:val="20"/>
        <w:rPr>
          <w:rFonts w:hint="eastAsia"/>
        </w:rPr>
      </w:pPr>
      <w:r>
        <w:rPr>
          <w:rFonts w:hint="eastAsia"/>
        </w:rPr>
        <w:t>SF_SCP.2.2 /* 仅在需要时描述 */本文件不适用于【描述赋值：不适用的情况】。</w:t>
      </w:r>
    </w:p>
    <w:p>
      <w:pPr>
        <w:pStyle w:val="46"/>
        <w:rPr>
          <w:rFonts w:hint="eastAsia"/>
        </w:rPr>
      </w:pPr>
      <w:bookmarkStart w:id="33" w:name="_Toc3612"/>
      <w:bookmarkStart w:id="34" w:name="_Toc57303977"/>
      <w:bookmarkStart w:id="35" w:name="_Toc57304393"/>
      <w:r>
        <w:rPr>
          <w:rFonts w:hint="eastAsia"/>
        </w:rPr>
        <w:t>规范性引用文件</w:t>
      </w:r>
      <w:bookmarkEnd w:id="33"/>
      <w:bookmarkEnd w:id="34"/>
      <w:bookmarkEnd w:id="35"/>
    </w:p>
    <w:p>
      <w:pPr>
        <w:pStyle w:val="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rPr>
          <w:rFonts w:hint="default" w:eastAsia="宋体"/>
          <w:lang w:val="en-US" w:eastAsia="zh-CN"/>
        </w:rPr>
      </w:pPr>
      <w:r>
        <w:rPr>
          <w:rFonts w:hint="eastAsia"/>
          <w:lang w:val="en-US" w:eastAsia="zh-CN"/>
        </w:rPr>
        <w:t>T/CBA 206—2020 银行业金融机构企业标准体系建设指南</w:t>
      </w:r>
    </w:p>
    <w:p>
      <w:pPr>
        <w:pStyle w:val="46"/>
        <w:rPr>
          <w:rFonts w:hint="eastAsia"/>
        </w:rPr>
      </w:pPr>
      <w:bookmarkStart w:id="36" w:name="_Toc57303978"/>
      <w:bookmarkEnd w:id="36"/>
      <w:bookmarkStart w:id="37" w:name="_Toc57304394"/>
      <w:bookmarkStart w:id="38" w:name="_Toc23041"/>
      <w:r>
        <w:rPr>
          <w:rFonts w:hint="eastAsia"/>
        </w:rPr>
        <w:t>术语和定义</w:t>
      </w:r>
      <w:bookmarkEnd w:id="37"/>
      <w:bookmarkEnd w:id="38"/>
    </w:p>
    <w:p>
      <w:pPr>
        <w:pStyle w:val="20"/>
        <w:rPr>
          <w:rFonts w:hint="eastAsia"/>
        </w:rPr>
      </w:pPr>
      <w:r>
        <w:rPr>
          <w:rFonts w:hint="eastAsia"/>
        </w:rPr>
        <w:t>T/CBA 206—2020界定的术语和定义适用于本文件。</w:t>
      </w:r>
    </w:p>
    <w:p>
      <w:pPr>
        <w:pStyle w:val="20"/>
        <w:rPr>
          <w:rFonts w:hint="eastAsia"/>
        </w:rPr>
      </w:pPr>
    </w:p>
    <w:p>
      <w:pPr>
        <w:pStyle w:val="20"/>
        <w:rPr>
          <w:rFonts w:hint="eastAsia" w:eastAsia="宋体"/>
          <w:lang w:eastAsia="zh-CN"/>
        </w:rPr>
      </w:pPr>
      <w:r>
        <w:rPr>
          <w:rFonts w:hint="eastAsia"/>
          <w:lang w:eastAsia="zh-CN"/>
        </w:rPr>
        <w:t>【</w:t>
      </w:r>
      <w:r>
        <w:rPr>
          <w:rFonts w:hint="eastAsia"/>
          <w:lang w:val="en-US" w:eastAsia="zh-CN"/>
        </w:rPr>
        <w:t>是否增加待定</w:t>
      </w:r>
      <w:r>
        <w:rPr>
          <w:rFonts w:hint="eastAsia"/>
          <w:lang w:eastAsia="zh-CN"/>
        </w:rPr>
        <w:t>】</w:t>
      </w:r>
    </w:p>
    <w:p>
      <w:pPr>
        <w:pStyle w:val="95"/>
        <w:rPr>
          <w:rFonts w:hint="eastAsia"/>
          <w:b w:val="0"/>
          <w:bCs w:val="0"/>
          <w:szCs w:val="21"/>
          <w:lang w:val="en-US" w:eastAsia="zh-CN"/>
        </w:rPr>
      </w:pPr>
    </w:p>
    <w:p>
      <w:pPr>
        <w:pStyle w:val="20"/>
        <w:rPr>
          <w:rFonts w:hint="eastAsia" w:ascii="Cambria" w:hAnsi="黑体" w:eastAsia="黑体"/>
          <w:b/>
          <w:bCs/>
        </w:rPr>
      </w:pPr>
      <w:r>
        <w:rPr>
          <w:rFonts w:hint="eastAsia" w:ascii="黑体" w:hAnsi="黑体" w:eastAsia="黑体"/>
        </w:rPr>
        <w:t>中文术语</w:t>
      </w:r>
      <w:r>
        <w:rPr>
          <w:rFonts w:hint="eastAsia"/>
        </w:rPr>
        <w:t xml:space="preserve"> </w:t>
      </w:r>
      <w:r>
        <w:rPr>
          <w:rFonts w:hint="eastAsia" w:ascii="Cambria" w:hAnsi="黑体" w:eastAsia="黑体"/>
          <w:b/>
          <w:bCs/>
        </w:rPr>
        <w:t>Term in English</w:t>
      </w:r>
    </w:p>
    <w:p>
      <w:pPr>
        <w:pStyle w:val="20"/>
        <w:rPr>
          <w:rFonts w:hint="eastAsia"/>
        </w:rPr>
      </w:pPr>
      <w:r>
        <w:rPr>
          <w:rFonts w:hint="eastAsia"/>
        </w:rPr>
        <w:t>[来源：XXX，XXX]</w:t>
      </w:r>
    </w:p>
    <w:p>
      <w:pPr>
        <w:pStyle w:val="46"/>
        <w:rPr>
          <w:rFonts w:hint="eastAsia"/>
        </w:rPr>
      </w:pPr>
      <w:bookmarkStart w:id="39" w:name="_Toc27446"/>
      <w:bookmarkEnd w:id="39"/>
      <w:bookmarkStart w:id="40" w:name="_Toc57304395"/>
      <w:bookmarkEnd w:id="40"/>
      <w:r>
        <w:rPr>
          <w:rFonts w:hint="eastAsia"/>
        </w:rPr>
        <w:t>标准体系构建策略</w:t>
      </w:r>
    </w:p>
    <w:p>
      <w:pPr>
        <w:pStyle w:val="20"/>
        <w:rPr>
          <w:rFonts w:hint="eastAsia"/>
        </w:rPr>
      </w:pPr>
      <w:r>
        <w:rPr>
          <w:rFonts w:hint="eastAsia"/>
        </w:rPr>
        <w:t>SF_SCT.1.1 【描述赋值：构建策略】/* 构建策略可从本文件第4章给出的构建策略中选取，此时宜给出“按照【描述赋值：本文件正式发布号】给出的构建策略，【描述赋值：本文件实施者的内部自称】的标准体系构建策略为：”的引导语。若完全是根据另外的原则界定的构建策略，则不必带有上述的引导语。在依据本文件第4章给出的构建策略时，宜根据本文件实施者的情况进行裁剪，包括增加 */。</w:t>
      </w:r>
    </w:p>
    <w:p>
      <w:pPr>
        <w:pStyle w:val="46"/>
        <w:rPr>
          <w:rFonts w:hint="eastAsia"/>
        </w:rPr>
      </w:pPr>
      <w:r>
        <w:rPr>
          <w:rFonts w:hint="eastAsia"/>
        </w:rPr>
        <w:t>标准体系的定位</w:t>
      </w:r>
    </w:p>
    <w:p>
      <w:pPr>
        <w:pStyle w:val="20"/>
        <w:rPr>
          <w:rFonts w:hint="eastAsia"/>
        </w:rPr>
      </w:pPr>
      <w:r>
        <w:rPr>
          <w:rFonts w:hint="eastAsia"/>
        </w:rPr>
        <w:t>SF_OSS.1.1 【描述赋值：标准体系的定位】。/* 标准体系的定位参照本文件5.1给出的总体框架，结合本文件实施者对企业标准和规章制度的定位，明确本文件实施者适用的标准体系定位。如果定位与本文件5.1给出的定位保持一致，则宜给出“参照【描述赋值：本文件正式发布号】给出的标准体系总体框架，【描述赋值：本文件实施者的内部自称】内企业标准的总体定位为：”的引导语，图1中的规章制度要求和技术标准要求宜改为本文件实施者实际发布的规章制度名称。若企业标准的定位与本文件5.1给出的定位不一致，则不必带有上述的引导语，且宜对标准体系的定位和形成依据进行描述。 */。</w:t>
      </w:r>
    </w:p>
    <w:p>
      <w:pPr>
        <w:pStyle w:val="20"/>
        <w:rPr>
          <w:rFonts w:hint="eastAsia"/>
        </w:rPr>
      </w:pPr>
      <w:r>
        <w:rPr>
          <w:rFonts w:hint="eastAsia"/>
        </w:rPr>
        <w:t>示例1：如果标准体系仅仅限于数据标准，但依旧是通过规章制度制定了相关的管理要求，而通过标准体系规范了数据标准的元数据、数据元和数据报文，则可以认为是符合本文件5.1给出的总体框架的。</w:t>
      </w:r>
    </w:p>
    <w:p>
      <w:pPr>
        <w:pStyle w:val="20"/>
        <w:rPr>
          <w:rFonts w:hint="eastAsia"/>
        </w:rPr>
      </w:pPr>
      <w:r>
        <w:rPr>
          <w:rFonts w:hint="eastAsia"/>
        </w:rPr>
        <w:t>示例2：如果标准体系仅仅是相关指标值，且不存在对基础标准的遵循，则是不符合本文件5.1给出的总体框架的例子。</w:t>
      </w:r>
    </w:p>
    <w:p>
      <w:pPr>
        <w:pStyle w:val="46"/>
        <w:rPr>
          <w:rFonts w:hint="eastAsia"/>
        </w:rPr>
      </w:pPr>
      <w:r>
        <w:rPr>
          <w:rFonts w:hint="eastAsia"/>
        </w:rPr>
        <w:t>标准体系的框架</w:t>
      </w:r>
    </w:p>
    <w:p>
      <w:pPr>
        <w:pStyle w:val="20"/>
        <w:rPr>
          <w:rFonts w:hint="eastAsia"/>
        </w:rPr>
      </w:pPr>
      <w:r>
        <w:rPr>
          <w:rFonts w:hint="eastAsia"/>
        </w:rPr>
        <w:t>SF_FSS.1.1 【描述赋值：标准体系的维度选择】。/* 标准体系的维度选择参照本附录H.4.3给出的维度，结合本文件实施者的标准体系框架的范围、企业的管理惯例等，确定本文件实施者的维度，维度可以用本文件5.2给出的图形方式描述，尤其是需要划分的层次多于一层时，也可以用本附录H.4.3给出的表的格式展开。在进行描述时，若与本文件提出的多维体系一致，则宜给出“参照【描述赋值：本文件正式发布号】的5.2和附录H.4.3给出的维度框架，结合【描述赋值：本文件实施者的内部自称】内实际，企业标准体系的框架如【单选：图，表】【指标赋值：图号或表号】所示。”的引导语。若企业标准体系框架与本文件5.2给出的框架不一致，则不必带有上述的引导语，且宜对框架内容和形成依据进行描述。 */。</w:t>
      </w:r>
    </w:p>
    <w:p>
      <w:pPr>
        <w:pStyle w:val="20"/>
        <w:rPr>
          <w:rFonts w:hint="eastAsia"/>
        </w:rPr>
      </w:pPr>
      <w:r>
        <w:rPr>
          <w:rFonts w:hint="eastAsia"/>
        </w:rPr>
        <w:t>示例：如果本文件实施者的所有规范要求全部通过公文形式展现，则“按标规文件的表现形式”维度无存在必要。</w:t>
      </w:r>
    </w:p>
    <w:p>
      <w:pPr>
        <w:pStyle w:val="46"/>
        <w:rPr>
          <w:rFonts w:hint="eastAsia"/>
        </w:rPr>
      </w:pPr>
      <w:r>
        <w:rPr>
          <w:rFonts w:hint="eastAsia"/>
        </w:rPr>
        <w:t>标准体系的明细组织</w:t>
      </w:r>
    </w:p>
    <w:p>
      <w:pPr>
        <w:pStyle w:val="20"/>
        <w:rPr>
          <w:rFonts w:hint="eastAsia"/>
        </w:rPr>
      </w:pPr>
      <w:r>
        <w:rPr>
          <w:rFonts w:hint="eastAsia"/>
        </w:rPr>
        <w:t>SF_SLS.1.1 【重复：针对【枚举项：每个选择的维度】，参照本文件附录I给出的明细表示例，说明标规文件明细表中标规文件的选择方法和明细表的适用对象与场合】。</w:t>
      </w:r>
    </w:p>
    <w:p>
      <w:pPr>
        <w:pStyle w:val="20"/>
        <w:rPr>
          <w:rFonts w:hint="eastAsia"/>
        </w:rPr>
      </w:pPr>
      <w:r>
        <w:rPr>
          <w:rFonts w:hint="eastAsia"/>
        </w:rPr>
        <w:t>示例1：“按标规文件的属性分类”划分</w:t>
      </w:r>
    </w:p>
    <w:p>
      <w:pPr>
        <w:pStyle w:val="20"/>
        <w:rPr>
          <w:rFonts w:hint="eastAsia"/>
        </w:rPr>
      </w:pPr>
      <w:r>
        <w:rPr>
          <w:rFonts w:hint="eastAsia"/>
        </w:rPr>
        <w:t>　　按标规文件的属性分类的标准明细表参照【描述赋值：本文件正式发布号】附录I的表I.1组织，其格式为【描述赋值：在本文件表I.1的基础上改进后的适用于本文件实施者的表】。包括所有纳入标准体系的规范性文件，是标准体系中所有视作标准的文件的全集。</w:t>
      </w:r>
    </w:p>
    <w:p>
      <w:pPr>
        <w:pStyle w:val="20"/>
        <w:rPr>
          <w:rFonts w:hint="eastAsia"/>
        </w:rPr>
      </w:pPr>
      <w:r>
        <w:rPr>
          <w:rFonts w:hint="eastAsia"/>
        </w:rPr>
        <w:t>示例2：“按标规文件客户是否能直接感知分类”划分</w:t>
      </w:r>
    </w:p>
    <w:p>
      <w:pPr>
        <w:pStyle w:val="20"/>
        <w:rPr>
          <w:rFonts w:hint="eastAsia"/>
        </w:rPr>
      </w:pPr>
      <w:r>
        <w:rPr>
          <w:rFonts w:hint="eastAsia"/>
        </w:rPr>
        <w:t>　　按标规文件客户是否能直接感知分类的标准明细表参照【描述赋值：本文件正式发布号】附录I的表I.2组织，其格式为【描述赋值：在本文件表I.2的基础上改进后的适用于本文件实施者的表】。其中客户能直接感知的标规文件均制定为企业标准，在制定过程中以客户的身份进行体验，并在总行网站上公布。</w:t>
      </w:r>
    </w:p>
    <w:p>
      <w:pPr>
        <w:pStyle w:val="20"/>
        <w:rPr>
          <w:rFonts w:hint="eastAsia"/>
        </w:rPr>
      </w:pPr>
      <w:r>
        <w:rPr>
          <w:rFonts w:hint="eastAsia"/>
        </w:rPr>
        <w:t>示例3：“按标规文件的表现形式”划分</w:t>
      </w:r>
    </w:p>
    <w:p>
      <w:pPr>
        <w:pStyle w:val="20"/>
        <w:rPr>
          <w:rFonts w:hint="eastAsia"/>
        </w:rPr>
      </w:pPr>
      <w:r>
        <w:rPr>
          <w:rFonts w:hint="eastAsia"/>
        </w:rPr>
        <w:t>按标规文件的表现形式分类的标准明细表参照【描述赋值：本文件正式发布号】附录I的表I.3、表I.4和表I.5组织，其格式为【描述赋值：在本文件表I.3、表I.4和表I.5的基础上改进后的适用于本文件实施者的表】。其中</w:t>
      </w:r>
    </w:p>
    <w:p>
      <w:pPr>
        <w:pStyle w:val="20"/>
        <w:rPr>
          <w:rFonts w:hint="eastAsia"/>
        </w:rPr>
      </w:pPr>
      <w:r>
        <w:rPr>
          <w:rFonts w:hint="eastAsia"/>
        </w:rPr>
        <w:t>a) 表I.3进一步分为三个子表：</w:t>
      </w:r>
    </w:p>
    <w:p>
      <w:pPr>
        <w:pStyle w:val="20"/>
        <w:rPr>
          <w:rFonts w:hint="eastAsia"/>
        </w:rPr>
      </w:pPr>
      <w:r>
        <w:rPr>
          <w:rFonts w:hint="eastAsia"/>
        </w:rPr>
        <w:t>1) 采用“X银规章”发布的规章制度，是内控合规部组织发布的规章制度的子集，其制修订和废止按照规章制度策略实施，此表由企业标准化统筹管理部门统一维护。</w:t>
      </w:r>
    </w:p>
    <w:p>
      <w:pPr>
        <w:pStyle w:val="20"/>
        <w:rPr>
          <w:rFonts w:hint="eastAsia"/>
        </w:rPr>
      </w:pPr>
      <w:r>
        <w:rPr>
          <w:rFonts w:hint="eastAsia"/>
        </w:rPr>
        <w:t>2) 由各个条线牵头部门发文，例如“X银科技”、“X银网金”发布的工作指引，其制修订和废止参照规章制度策略实施，但发文格式按照公文执行，此表由企业标准化统筹管理部门统一维护。</w:t>
      </w:r>
    </w:p>
    <w:p>
      <w:pPr>
        <w:pStyle w:val="20"/>
        <w:rPr>
          <w:rFonts w:hint="eastAsia"/>
        </w:rPr>
      </w:pPr>
      <w:r>
        <w:rPr>
          <w:rFonts w:hint="eastAsia"/>
        </w:rPr>
        <w:t>3) 在部门和分支机构内部管理规范，又分为如下四种情况：</w:t>
      </w:r>
    </w:p>
    <w:p>
      <w:pPr>
        <w:pStyle w:val="20"/>
        <w:rPr>
          <w:rFonts w:hint="eastAsia"/>
        </w:rPr>
      </w:pPr>
      <w:r>
        <w:rPr>
          <w:rFonts w:hint="eastAsia"/>
        </w:rPr>
        <w:t>① 由各个部室内部向其内部发布的类似规章制度的要求，例如“X银科技部内发文”，其制修订和废止参照规章制度策略实施，但发文格式按照公文执行，由发文部门自行维护，并向企业标准化统筹管理部门报备；</w:t>
      </w:r>
    </w:p>
    <w:p>
      <w:pPr>
        <w:pStyle w:val="20"/>
        <w:rPr>
          <w:rFonts w:hint="eastAsia"/>
        </w:rPr>
      </w:pPr>
      <w:r>
        <w:rPr>
          <w:rFonts w:hint="eastAsia"/>
        </w:rPr>
        <w:t>② 由一级分行向其管辖的分支机构发布的规章制度，例如“X银京规章”，其制修订和废止按照规章制度策略实施，由发文一级分行自行维护，并向企业标准化统筹管理部门报备；</w:t>
      </w:r>
    </w:p>
    <w:p>
      <w:pPr>
        <w:pStyle w:val="20"/>
        <w:rPr>
          <w:rFonts w:hint="eastAsia"/>
        </w:rPr>
      </w:pPr>
      <w:r>
        <w:rPr>
          <w:rFonts w:hint="eastAsia"/>
        </w:rPr>
        <w:t>③ 由一级分行向其管辖的分支机构发布的类似于总行条线工作指引的规范性文件，例如“X银京办发”，其制修订和废止参照规章制度策略实施，但发文格式按照公文执行，由发文一级分行自行维护，并向企业标准化统筹管理部门报备；</w:t>
      </w:r>
    </w:p>
    <w:p>
      <w:pPr>
        <w:pStyle w:val="20"/>
        <w:rPr>
          <w:rFonts w:hint="eastAsia"/>
        </w:rPr>
      </w:pPr>
      <w:r>
        <w:rPr>
          <w:rFonts w:hint="eastAsia"/>
        </w:rPr>
        <w:t>④ 由一级分行向其内设单元发布的类似规章制度的要求，例如“X银京办内发”，其制修订和废止参照规章制度策略实施，但发文格式按照公文执行，由发文一级分行自行维护，并向企业标准化统筹管理部门报备。</w:t>
      </w:r>
    </w:p>
    <w:p>
      <w:pPr>
        <w:pStyle w:val="20"/>
        <w:rPr>
          <w:rFonts w:hint="eastAsia"/>
        </w:rPr>
      </w:pPr>
      <w:r>
        <w:rPr>
          <w:rFonts w:hint="eastAsia"/>
        </w:rPr>
        <w:t>其中，一级分行的三类情况，作为一个表的三个部分分别登记，每个部分另起一页。</w:t>
      </w:r>
    </w:p>
    <w:p>
      <w:pPr>
        <w:pStyle w:val="20"/>
        <w:rPr>
          <w:rFonts w:hint="eastAsia"/>
        </w:rPr>
      </w:pPr>
      <w:r>
        <w:rPr>
          <w:rFonts w:hint="eastAsia"/>
        </w:rPr>
        <w:t>b) 表I.4进一步分为三个子表：</w:t>
      </w:r>
    </w:p>
    <w:p>
      <w:pPr>
        <w:pStyle w:val="20"/>
        <w:rPr>
          <w:rFonts w:hint="eastAsia"/>
        </w:rPr>
      </w:pPr>
      <w:r>
        <w:rPr>
          <w:rFonts w:hint="eastAsia"/>
        </w:rPr>
        <w:t>1) 采用“X银标准”发布的企业标准，其制修订和废止按照企业标准化管理办法实施，按照GB/T 20000.1给出的标准进行分类并按照相关基础国家标准进行编制，此表由企业标准化统筹管理部门统一维护。</w:t>
      </w:r>
    </w:p>
    <w:p>
      <w:pPr>
        <w:pStyle w:val="20"/>
        <w:rPr>
          <w:rFonts w:hint="eastAsia"/>
        </w:rPr>
      </w:pPr>
      <w:r>
        <w:rPr>
          <w:rFonts w:hint="eastAsia"/>
        </w:rPr>
        <w:t>2) 由各个条线牵头部门发文，例如“X银科技”、“X银网金”发布的技术规范，其制修订和废止参照企业标准化管理办法实施，一般命名为“技术规范”，发文格式仅需在形式上符合GB/T 1.1的要求，此表由企业标准化统筹管理部门统一维护。</w:t>
      </w:r>
    </w:p>
    <w:p>
      <w:pPr>
        <w:pStyle w:val="20"/>
        <w:rPr>
          <w:rFonts w:hint="eastAsia"/>
        </w:rPr>
      </w:pPr>
      <w:r>
        <w:rPr>
          <w:rFonts w:hint="eastAsia"/>
        </w:rPr>
        <w:t>3) 在部门和分支机构内部技术规范，又分为如下三种情况：</w:t>
      </w:r>
    </w:p>
    <w:p>
      <w:pPr>
        <w:pStyle w:val="20"/>
        <w:rPr>
          <w:rFonts w:hint="eastAsia"/>
        </w:rPr>
      </w:pPr>
      <w:r>
        <w:rPr>
          <w:rFonts w:hint="eastAsia"/>
        </w:rPr>
        <w:t>① 由各个部室内部向其内部发布的技术要求，例如“X银科技部内发文”，一般命名为“技术手册”，其制修订和废止参照企业标准化管理办法实施，发文格式宜在形式上符合GB/T 1.1的要求，但也可以采取其它格式，由发文部门自行维护，并向企业标准化统筹管理部门报备；</w:t>
      </w:r>
    </w:p>
    <w:p>
      <w:pPr>
        <w:pStyle w:val="20"/>
        <w:rPr>
          <w:rFonts w:hint="eastAsia"/>
        </w:rPr>
      </w:pPr>
      <w:r>
        <w:rPr>
          <w:rFonts w:hint="eastAsia"/>
        </w:rPr>
        <w:t>② 由一级分行向其管辖的分支机构发布的技术要求，例如“X银京办发”，一般命名为“技术手册”，其制修订和废止参照企业标准化管理办法实施，发文格式宜在形式上符合GB/T 1.1的要求，但也可以采取其它格式，由发文一级分行自行维护，并向企业标准化统筹管理部门报备；</w:t>
      </w:r>
    </w:p>
    <w:p>
      <w:pPr>
        <w:pStyle w:val="20"/>
        <w:rPr>
          <w:rFonts w:hint="eastAsia"/>
        </w:rPr>
      </w:pPr>
      <w:r>
        <w:rPr>
          <w:rFonts w:hint="eastAsia"/>
        </w:rPr>
        <w:t>③ 由一级分行向其内设单元发布的技术要求，例如“X银京办内发”，一般命名为“技术手册”，其制修订和废止参照企业标准化管理办法实施，发文格式宜在形式上符合GB/T 1.1的要求，但也可以采取其它格式，由发文一级分行自行维护，并向企业标准化统筹管理部门报备。</w:t>
      </w:r>
    </w:p>
    <w:p>
      <w:pPr>
        <w:pStyle w:val="20"/>
        <w:rPr>
          <w:rFonts w:hint="eastAsia"/>
        </w:rPr>
      </w:pPr>
      <w:r>
        <w:rPr>
          <w:rFonts w:hint="eastAsia"/>
        </w:rPr>
        <w:t>其中，一级分行的两类情况，作为一个表的两个部分分别登记，每个部分另起一页。</w:t>
      </w:r>
    </w:p>
    <w:p>
      <w:pPr>
        <w:pStyle w:val="20"/>
        <w:rPr>
          <w:rFonts w:hint="eastAsia"/>
        </w:rPr>
      </w:pPr>
      <w:r>
        <w:rPr>
          <w:rFonts w:hint="eastAsia"/>
        </w:rPr>
        <w:t>c) 表I.5进一步分为三个子表：</w:t>
      </w:r>
    </w:p>
    <w:p>
      <w:pPr>
        <w:pStyle w:val="20"/>
        <w:rPr>
          <w:rFonts w:hint="eastAsia"/>
        </w:rPr>
      </w:pPr>
      <w:r>
        <w:rPr>
          <w:rFonts w:hint="eastAsia"/>
        </w:rPr>
        <w:t>1) 采用“X银发”、“X银办发”发布的规划、意见、通知，其制修订和废止按照【描述赋值：公文管理规定】执行，由【单选：起草部门，发文部门】自行维护，并向企业标准化统筹管理部门报备。</w:t>
      </w:r>
    </w:p>
    <w:p>
      <w:pPr>
        <w:pStyle w:val="20"/>
        <w:rPr>
          <w:rFonts w:hint="eastAsia"/>
        </w:rPr>
      </w:pPr>
      <w:r>
        <w:rPr>
          <w:rFonts w:hint="eastAsia"/>
        </w:rPr>
        <w:t>2) 由各个条线牵头部门发文，例如“X银科技”、“X银网金”发布的规划、意见、通知，其制修订和废止按照【描述赋值：公文管理规定】执行，由发文部门自行维护，并向企业标准化统筹管理部门报备。</w:t>
      </w:r>
    </w:p>
    <w:p>
      <w:pPr>
        <w:pStyle w:val="20"/>
        <w:rPr>
          <w:rFonts w:hint="eastAsia"/>
        </w:rPr>
      </w:pPr>
      <w:r>
        <w:rPr>
          <w:rFonts w:hint="eastAsia"/>
        </w:rPr>
        <w:t>3) 在部门和分支机构内部规范性要求，又分为如下三种情况：</w:t>
      </w:r>
    </w:p>
    <w:p>
      <w:pPr>
        <w:pStyle w:val="20"/>
        <w:rPr>
          <w:rFonts w:hint="eastAsia"/>
        </w:rPr>
      </w:pPr>
      <w:r>
        <w:rPr>
          <w:rFonts w:hint="eastAsia"/>
        </w:rPr>
        <w:t>① 由各个部室内部向其内部发布的意见、通知，例如“X银科技部内发文”，其制修订和废止按照【描述赋值：公文管理规定】执行，由发文部门自行维护，并向企业标准化统筹管理部门报备；</w:t>
      </w:r>
    </w:p>
    <w:p>
      <w:pPr>
        <w:pStyle w:val="20"/>
        <w:rPr>
          <w:rFonts w:hint="eastAsia"/>
        </w:rPr>
      </w:pPr>
      <w:r>
        <w:rPr>
          <w:rFonts w:hint="eastAsia"/>
        </w:rPr>
        <w:t>② 由一级分行向其管辖的分支机构发布的规划、意见、通知，例如“X银京办发”，其制修订和废止按照【描述赋值：公文管理规定】执行，由发文一级分行自行维护，并向企业标准化统筹管理部门报备；</w:t>
      </w:r>
    </w:p>
    <w:p>
      <w:pPr>
        <w:pStyle w:val="20"/>
        <w:rPr>
          <w:rFonts w:hint="eastAsia"/>
        </w:rPr>
      </w:pPr>
      <w:r>
        <w:rPr>
          <w:rFonts w:hint="eastAsia"/>
        </w:rPr>
        <w:t>③ 由一级分行向其内设单元发布的意见、通知，例如“X银京办内发”，其制修订和废止按照【描述赋值：公文管理规定】执行，由发文一级分行自行维护，并向企业标准化统筹管理部门报备。</w:t>
      </w:r>
    </w:p>
    <w:p>
      <w:pPr>
        <w:pStyle w:val="20"/>
        <w:rPr>
          <w:rFonts w:hint="eastAsia"/>
        </w:rPr>
      </w:pPr>
      <w:r>
        <w:rPr>
          <w:rFonts w:hint="eastAsia"/>
        </w:rPr>
        <w:t>其中，一级分行的两类情况，作为一个表的两个部分分别登记，每个部分另起一页。</w:t>
      </w:r>
    </w:p>
    <w:p>
      <w:pPr>
        <w:pStyle w:val="20"/>
        <w:rPr>
          <w:rFonts w:hint="eastAsia"/>
        </w:rPr>
      </w:pPr>
      <w:r>
        <w:rPr>
          <w:rFonts w:hint="eastAsia"/>
        </w:rPr>
        <w:t>示例4：“按制定者或实施者”划分</w:t>
      </w:r>
    </w:p>
    <w:p>
      <w:pPr>
        <w:pStyle w:val="20"/>
        <w:rPr>
          <w:rFonts w:hint="eastAsia"/>
        </w:rPr>
      </w:pPr>
      <w:r>
        <w:rPr>
          <w:rFonts w:hint="eastAsia"/>
        </w:rPr>
        <w:t>按标规文件的表现形式分类的标准明细表参照【描述赋值：本文件正式发布号】附录I的表I.6和表I.7组织，其格式为【描述赋值：在本文件表I.6和表I.7的基础上改进后的适用于本文件实施者的表】。其中：</w:t>
      </w:r>
    </w:p>
    <w:p>
      <w:pPr>
        <w:pStyle w:val="20"/>
        <w:rPr>
          <w:rFonts w:hint="eastAsia"/>
        </w:rPr>
      </w:pPr>
      <w:r>
        <w:rPr>
          <w:rFonts w:hint="eastAsia"/>
        </w:rPr>
        <w:t>a) 按标准的制定者的表包括所有的纳入标准体系的标规文件，即在企业标准化统筹管理部门统一归口的基础上，明确每个内部标准的制修订部门和每个引入外部标准的宣贯指南的制修订部门。</w:t>
      </w:r>
    </w:p>
    <w:p>
      <w:pPr>
        <w:pStyle w:val="20"/>
        <w:rPr>
          <w:rFonts w:hint="eastAsia"/>
        </w:rPr>
      </w:pPr>
      <w:r>
        <w:rPr>
          <w:rFonts w:hint="eastAsia"/>
        </w:rPr>
        <w:t>b) 按标准实施者的表，宜分层设置到每个工作团队，例如部门的处室，研发项目组。每个工作团队宜列出其遵循的所有标规文件。且</w:t>
      </w:r>
    </w:p>
    <w:p>
      <w:pPr>
        <w:pStyle w:val="20"/>
        <w:rPr>
          <w:rFonts w:hint="eastAsia"/>
        </w:rPr>
      </w:pPr>
      <w:r>
        <w:rPr>
          <w:rFonts w:hint="eastAsia"/>
        </w:rPr>
        <w:t>1) 在不需执行某一个标规文件的全部规定时，可以仅列出相关的章、节、条、款（段）、项。</w:t>
      </w:r>
    </w:p>
    <w:p>
      <w:pPr>
        <w:pStyle w:val="20"/>
        <w:rPr>
          <w:rFonts w:hint="eastAsia"/>
        </w:rPr>
      </w:pPr>
      <w:r>
        <w:rPr>
          <w:rFonts w:hint="eastAsia"/>
        </w:rPr>
        <w:t>2) 对应执行但各种原因导致无法执行的，宜提出例外的申请并分析引入的风险和相应的应对措施。例如，“因人员工作习惯和意愿，不能执行文档版本管理规范，引入的风险是可能导致版本错误，应对措施一是少写文档，二是出错再改，三是重要文档双人核对”是一种符合要求但可能并不经济的例外情况。</w:t>
      </w:r>
    </w:p>
    <w:p>
      <w:pPr>
        <w:pStyle w:val="20"/>
        <w:rPr>
          <w:rFonts w:hint="eastAsia"/>
        </w:rPr>
      </w:pPr>
      <w:r>
        <w:rPr>
          <w:rFonts w:hint="eastAsia"/>
        </w:rPr>
        <w:t>3) 对基层的工作团队，宜将所有的规范要求，包括管理和技术的，整合为一个工作手册，并根据标规文件的调整进行更新。</w:t>
      </w:r>
    </w:p>
    <w:p>
      <w:pPr>
        <w:pStyle w:val="20"/>
        <w:rPr>
          <w:rFonts w:hint="eastAsia"/>
        </w:rPr>
      </w:pPr>
      <w:r>
        <w:rPr>
          <w:rFonts w:hint="eastAsia"/>
        </w:rPr>
        <w:t>示例5：“按标准来源”划分</w:t>
      </w:r>
    </w:p>
    <w:p>
      <w:pPr>
        <w:pStyle w:val="20"/>
        <w:rPr>
          <w:rFonts w:hint="eastAsia"/>
        </w:rPr>
      </w:pPr>
      <w:r>
        <w:rPr>
          <w:rFonts w:hint="eastAsia"/>
        </w:rPr>
        <w:t>按标规文件的表现形式分类的标准明细表参照【描述赋值：本文件正式发布号】附录I的表I.6和表I.8组织，其格式为【描述赋值：在本文件表I.6和表I.8的基础上改进后的适用于本文件实施者的表】。其中：</w:t>
      </w:r>
    </w:p>
    <w:p>
      <w:pPr>
        <w:pStyle w:val="20"/>
        <w:rPr>
          <w:rFonts w:hint="eastAsia"/>
        </w:rPr>
      </w:pPr>
      <w:r>
        <w:rPr>
          <w:rFonts w:hint="eastAsia"/>
        </w:rPr>
        <w:t>a) 在确定表I.6给出的制修订标准明细表时，宜首先参照【描述赋值：本文件正式发布号】附录I进行标准化对象的分析。对分析出来需要进行标准化但目前没有能力进行相关标准建设的客观对象、客观对象的属性和相关属性的取值，宜记载在类似《标准化对象分析》的文件中，说明分析的情况没有进行标准化建设的理由。标准化的程度根据对象的不同，宜从术语与定义、形式化或半形式化的描述、值域定义以及必要的检验方法方面考虑。</w:t>
      </w:r>
    </w:p>
    <w:p>
      <w:pPr>
        <w:pStyle w:val="20"/>
        <w:rPr>
          <w:rFonts w:hint="eastAsia"/>
        </w:rPr>
      </w:pPr>
      <w:r>
        <w:rPr>
          <w:rFonts w:hint="eastAsia"/>
        </w:rPr>
        <w:t>b) 在确定表I.8给出的引入标准明细表时，宜按照下列顺序考虑：</w:t>
      </w:r>
    </w:p>
    <w:p>
      <w:pPr>
        <w:pStyle w:val="20"/>
        <w:rPr>
          <w:rFonts w:hint="eastAsia"/>
        </w:rPr>
      </w:pPr>
      <w:r>
        <w:rPr>
          <w:rFonts w:hint="eastAsia"/>
        </w:rPr>
        <w:t>1) 金融国家标准；</w:t>
      </w:r>
    </w:p>
    <w:p>
      <w:pPr>
        <w:pStyle w:val="20"/>
        <w:rPr>
          <w:rFonts w:hint="eastAsia"/>
        </w:rPr>
      </w:pPr>
      <w:r>
        <w:rPr>
          <w:rFonts w:hint="eastAsia"/>
        </w:rPr>
        <w:t>2) 金融行业标准；</w:t>
      </w:r>
    </w:p>
    <w:p>
      <w:pPr>
        <w:pStyle w:val="20"/>
        <w:rPr>
          <w:rFonts w:hint="eastAsia"/>
        </w:rPr>
      </w:pPr>
      <w:r>
        <w:rPr>
          <w:rFonts w:hint="eastAsia"/>
        </w:rPr>
        <w:t>3) 中国银行业协会团体标准；</w:t>
      </w:r>
    </w:p>
    <w:p>
      <w:pPr>
        <w:pStyle w:val="20"/>
        <w:rPr>
          <w:rFonts w:hint="eastAsia"/>
        </w:rPr>
      </w:pPr>
      <w:bookmarkStart w:id="51" w:name="_GoBack"/>
      <w:r>
        <w:rPr>
          <w:rFonts w:hint="eastAsia"/>
        </w:rPr>
        <w:t>4）中国证券业协会；</w:t>
      </w:r>
    </w:p>
    <w:p>
      <w:pPr>
        <w:pStyle w:val="20"/>
        <w:rPr>
          <w:rFonts w:hint="eastAsia"/>
        </w:rPr>
      </w:pPr>
      <w:r>
        <w:rPr>
          <w:rFonts w:hint="eastAsia"/>
        </w:rPr>
        <w:t>5）中国保险行业协会；</w:t>
      </w:r>
    </w:p>
    <w:bookmarkEnd w:id="51"/>
    <w:p>
      <w:pPr>
        <w:pStyle w:val="20"/>
        <w:rPr>
          <w:rFonts w:hint="eastAsia"/>
        </w:rPr>
      </w:pPr>
      <w:r>
        <w:rPr>
          <w:rFonts w:hint="eastAsia"/>
        </w:rPr>
        <w:t>6) 中国互联网金融协会团体标准；</w:t>
      </w:r>
    </w:p>
    <w:p>
      <w:pPr>
        <w:pStyle w:val="20"/>
        <w:rPr>
          <w:rFonts w:hint="eastAsia"/>
        </w:rPr>
      </w:pPr>
      <w:r>
        <w:rPr>
          <w:rFonts w:hint="eastAsia"/>
        </w:rPr>
        <w:t>7) 中国支付清算协会团体标准；</w:t>
      </w:r>
    </w:p>
    <w:p>
      <w:pPr>
        <w:pStyle w:val="20"/>
        <w:rPr>
          <w:rFonts w:hint="eastAsia"/>
        </w:rPr>
      </w:pPr>
      <w:r>
        <w:rPr>
          <w:rFonts w:hint="eastAsia"/>
        </w:rPr>
        <w:t>8）中国信托业协会团体标准；</w:t>
      </w:r>
    </w:p>
    <w:p>
      <w:pPr>
        <w:pStyle w:val="20"/>
        <w:rPr>
          <w:rFonts w:hint="eastAsia"/>
        </w:rPr>
      </w:pPr>
      <w:r>
        <w:rPr>
          <w:rFonts w:hint="eastAsia"/>
        </w:rPr>
        <w:t>9) 与工作有直接关联的国家标准；</w:t>
      </w:r>
    </w:p>
    <w:p>
      <w:pPr>
        <w:pStyle w:val="20"/>
        <w:rPr>
          <w:rFonts w:hint="eastAsia"/>
        </w:rPr>
      </w:pPr>
      <w:r>
        <w:rPr>
          <w:rFonts w:hint="eastAsia"/>
        </w:rPr>
        <w:t>10) 与工作有直接关联的行业标准；</w:t>
      </w:r>
    </w:p>
    <w:p>
      <w:pPr>
        <w:pStyle w:val="20"/>
        <w:rPr>
          <w:rFonts w:hint="eastAsia"/>
        </w:rPr>
      </w:pPr>
      <w:r>
        <w:rPr>
          <w:rFonts w:hint="eastAsia"/>
        </w:rPr>
        <w:t>11) 与工作有直接关联的团体标准；</w:t>
      </w:r>
    </w:p>
    <w:p>
      <w:pPr>
        <w:pStyle w:val="20"/>
        <w:rPr>
          <w:rFonts w:hint="eastAsia"/>
        </w:rPr>
      </w:pPr>
      <w:r>
        <w:rPr>
          <w:rFonts w:hint="eastAsia"/>
        </w:rPr>
        <w:t>12) 作为成员加入的特定组织的企业标准（例如中国银联股份有限公司企业标准）；</w:t>
      </w:r>
    </w:p>
    <w:p>
      <w:pPr>
        <w:pStyle w:val="20"/>
        <w:rPr>
          <w:rFonts w:hint="eastAsia"/>
        </w:rPr>
      </w:pPr>
      <w:r>
        <w:rPr>
          <w:rFonts w:hint="eastAsia"/>
        </w:rPr>
        <w:t>13) 被采标的国际标准升级的版本。</w:t>
      </w:r>
    </w:p>
    <w:p>
      <w:pPr>
        <w:pStyle w:val="20"/>
        <w:rPr>
          <w:rFonts w:hint="eastAsia"/>
        </w:rPr>
      </w:pPr>
      <w:r>
        <w:rPr>
          <w:rFonts w:hint="eastAsia"/>
        </w:rPr>
        <w:t>对于金融国家标准、金融行业标准，不能纳入标准体系的，宜给出明确的理由。</w:t>
      </w:r>
    </w:p>
    <w:p>
      <w:pPr>
        <w:pStyle w:val="20"/>
        <w:rPr>
          <w:rFonts w:hint="eastAsia"/>
        </w:rPr>
      </w:pPr>
      <w:r>
        <w:rPr>
          <w:rFonts w:hint="eastAsia"/>
        </w:rPr>
        <w:t>示例6：“按建设状态”划分</w:t>
      </w:r>
    </w:p>
    <w:p>
      <w:pPr>
        <w:pStyle w:val="20"/>
        <w:rPr>
          <w:rFonts w:hint="eastAsia"/>
        </w:rPr>
      </w:pPr>
      <w:r>
        <w:rPr>
          <w:rFonts w:hint="eastAsia"/>
        </w:rPr>
        <w:t>按按建设状态分类的标准明细表参照【描述赋值：本文件正式发布号】附录I的表I.9和表I.10组织，其格式为【描述赋值：在本文件表I.9和表I.10的基础上改进后的适用于本文件实施者的表】。其中：</w:t>
      </w:r>
    </w:p>
    <w:p>
      <w:pPr>
        <w:pStyle w:val="20"/>
        <w:rPr>
          <w:rFonts w:hint="eastAsia"/>
        </w:rPr>
      </w:pPr>
      <w:r>
        <w:rPr>
          <w:rFonts w:hint="eastAsia"/>
        </w:rPr>
        <w:t>a) 在确定表H.9给出的制修订标准明细表时，宜考虑：</w:t>
      </w:r>
    </w:p>
    <w:p>
      <w:pPr>
        <w:pStyle w:val="20"/>
        <w:rPr>
          <w:rFonts w:hint="eastAsia"/>
        </w:rPr>
      </w:pPr>
      <w:r>
        <w:rPr>
          <w:rFonts w:hint="eastAsia"/>
        </w:rPr>
        <w:t>1) 对标准实施涉及到多个部门和多层机构的，宜考虑采用规标综合体的方式，制定一组有效的管理和技术、工作的规范性文件，明确事权划分，甚至制定考核方案，以确保标准能够得到有效的实施。</w:t>
      </w:r>
    </w:p>
    <w:p>
      <w:pPr>
        <w:pStyle w:val="20"/>
        <w:rPr>
          <w:rFonts w:hint="eastAsia"/>
        </w:rPr>
      </w:pPr>
      <w:r>
        <w:rPr>
          <w:rFonts w:hint="eastAsia"/>
        </w:rPr>
        <w:t>2) 对通过应用系统的投产实现标准贯彻的，宜将相关标规文件作为应用系统测试的依据，必要时进行专门的标准符合性测试，以避免在软件需求、设计环节和测试规划与设计环节对标准不完整乃至不正确的理解导致的不正确贯标。</w:t>
      </w:r>
    </w:p>
    <w:p>
      <w:pPr>
        <w:pStyle w:val="20"/>
        <w:rPr>
          <w:rFonts w:hint="eastAsia"/>
        </w:rPr>
      </w:pPr>
      <w:r>
        <w:rPr>
          <w:rFonts w:hint="eastAsia"/>
        </w:rPr>
        <w:t>b) 在确定表I.10给出的计划中标准明细表时，宜考虑：</w:t>
      </w:r>
    </w:p>
    <w:p>
      <w:pPr>
        <w:pStyle w:val="20"/>
        <w:rPr>
          <w:rFonts w:hint="eastAsia"/>
        </w:rPr>
      </w:pPr>
      <w:r>
        <w:rPr>
          <w:rFonts w:hint="eastAsia"/>
        </w:rPr>
        <w:t>1) 与标准制定者维度的关联；</w:t>
      </w:r>
    </w:p>
    <w:p>
      <w:pPr>
        <w:pStyle w:val="20"/>
        <w:rPr>
          <w:rFonts w:hint="eastAsia"/>
        </w:rPr>
      </w:pPr>
      <w:r>
        <w:rPr>
          <w:rFonts w:hint="eastAsia"/>
        </w:rPr>
        <w:t>2) 应用系统建设等支持手段的建设情况。</w:t>
      </w:r>
    </w:p>
    <w:p>
      <w:pPr>
        <w:pStyle w:val="73"/>
      </w:pPr>
    </w:p>
    <w:p>
      <w:pPr>
        <w:pStyle w:val="54"/>
      </w:pPr>
    </w:p>
    <w:p>
      <w:pPr>
        <w:pStyle w:val="126"/>
        <w:rPr>
          <w:rFonts w:hint="eastAsia"/>
        </w:rPr>
      </w:pPr>
      <w:bookmarkStart w:id="41" w:name="_Toc26202"/>
      <w:r>
        <w:br w:type="textWrapping"/>
      </w:r>
      <w:bookmarkStart w:id="42" w:name="_Toc57303979"/>
      <w:bookmarkStart w:id="43" w:name="_Toc57304396"/>
      <w:r>
        <w:rPr>
          <w:rFonts w:hint="eastAsia"/>
        </w:rPr>
        <w:t>（规范性）</w:t>
      </w:r>
      <w:r>
        <w:br w:type="textWrapping"/>
      </w:r>
      <w:r>
        <w:rPr>
          <w:rFonts w:hint="eastAsia"/>
        </w:rPr>
        <w:t>规范性附录</w:t>
      </w:r>
      <w:bookmarkEnd w:id="41"/>
      <w:bookmarkEnd w:id="42"/>
      <w:bookmarkEnd w:id="43"/>
    </w:p>
    <w:p>
      <w:pPr>
        <w:pStyle w:val="20"/>
      </w:pPr>
    </w:p>
    <w:p>
      <w:pPr>
        <w:pStyle w:val="73"/>
      </w:pPr>
    </w:p>
    <w:p>
      <w:pPr>
        <w:pStyle w:val="54"/>
      </w:pPr>
    </w:p>
    <w:p>
      <w:pPr>
        <w:pStyle w:val="126"/>
        <w:rPr>
          <w:rFonts w:hint="eastAsia"/>
        </w:rPr>
      </w:pPr>
      <w:bookmarkStart w:id="44" w:name="_Toc86"/>
      <w:r>
        <w:br w:type="textWrapping"/>
      </w:r>
      <w:bookmarkStart w:id="45" w:name="_Toc57304397"/>
      <w:bookmarkStart w:id="46" w:name="_Toc57303980"/>
      <w:r>
        <w:rPr>
          <w:rFonts w:hint="eastAsia"/>
        </w:rPr>
        <w:t>（资料性）</w:t>
      </w:r>
      <w:r>
        <w:br w:type="textWrapping"/>
      </w:r>
      <w:r>
        <w:rPr>
          <w:rFonts w:hint="eastAsia"/>
        </w:rPr>
        <w:t>资料性附录</w:t>
      </w:r>
      <w:bookmarkEnd w:id="44"/>
      <w:bookmarkEnd w:id="45"/>
      <w:bookmarkEnd w:id="46"/>
    </w:p>
    <w:p>
      <w:pPr>
        <w:pStyle w:val="20"/>
      </w:pPr>
    </w:p>
    <w:p>
      <w:pPr>
        <w:pStyle w:val="109"/>
        <w:rPr>
          <w:rFonts w:hint="eastAsia"/>
        </w:rPr>
      </w:pPr>
      <w:bookmarkStart w:id="47" w:name="_Toc57303981"/>
      <w:bookmarkStart w:id="48" w:name="_Toc57304398"/>
      <w:bookmarkStart w:id="49" w:name="_Toc2326"/>
      <w:bookmarkStart w:id="50"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47"/>
      <w:bookmarkEnd w:id="48"/>
      <w:bookmarkEnd w:id="49"/>
      <w:bookmarkEnd w:id="50"/>
    </w:p>
    <w:p>
      <w:pPr>
        <w:pStyle w:val="20"/>
        <w:numPr>
          <w:ilvl w:val="0"/>
          <w:numId w:val="18"/>
        </w:numPr>
        <w:rPr>
          <w:rFonts w:hint="eastAsia"/>
          <w:lang w:val="en-US" w:eastAsia="zh-CN"/>
        </w:rPr>
      </w:pPr>
      <w:r>
        <w:rPr>
          <w:rFonts w:hint="eastAsia"/>
          <w:lang w:val="en-US" w:eastAsia="zh-CN"/>
        </w:rPr>
        <w:t>GB/T 9704—2012 党政机关公文格式</w:t>
      </w:r>
    </w:p>
    <w:p>
      <w:pPr>
        <w:pStyle w:val="20"/>
        <w:numPr>
          <w:ilvl w:val="0"/>
          <w:numId w:val="18"/>
        </w:numPr>
        <w:rPr>
          <w:rFonts w:hint="eastAsia"/>
          <w:lang w:val="en-US" w:eastAsia="zh-CN"/>
        </w:rPr>
      </w:pPr>
      <w:r>
        <w:rPr>
          <w:rFonts w:hint="eastAsia"/>
          <w:lang w:val="en-US" w:eastAsia="zh-CN"/>
        </w:rPr>
        <w:t xml:space="preserve">GB/T 13016—2018 标准体系构建原则和要求 </w:t>
      </w:r>
    </w:p>
    <w:p>
      <w:pPr>
        <w:pStyle w:val="20"/>
        <w:numPr>
          <w:ilvl w:val="0"/>
          <w:numId w:val="18"/>
        </w:numPr>
        <w:rPr>
          <w:rFonts w:hint="eastAsia"/>
          <w:lang w:val="en-US" w:eastAsia="zh-CN"/>
        </w:rPr>
      </w:pPr>
      <w:r>
        <w:rPr>
          <w:rFonts w:hint="eastAsia"/>
          <w:lang w:val="en-US" w:eastAsia="zh-CN"/>
        </w:rPr>
        <w:t xml:space="preserve">GB/T 13017—2018 企业标准体系表编制指南 </w:t>
      </w:r>
    </w:p>
    <w:p>
      <w:pPr>
        <w:pStyle w:val="20"/>
        <w:numPr>
          <w:ilvl w:val="0"/>
          <w:numId w:val="18"/>
        </w:numPr>
        <w:rPr>
          <w:rFonts w:hint="eastAsia" w:hAnsi="Times New Roman" w:eastAsia="宋体" w:cs="Times New Roman"/>
          <w:lang w:val="en-US" w:eastAsia="zh-CN"/>
        </w:rPr>
      </w:pPr>
      <w:r>
        <w:rPr>
          <w:rFonts w:hint="eastAsia" w:hAnsi="Times New Roman" w:eastAsia="宋体" w:cs="Times New Roman"/>
          <w:lang w:val="en-US" w:eastAsia="zh-CN"/>
        </w:rPr>
        <w:t>GB/T 12366—2009 综合标准化工作指南</w:t>
      </w:r>
    </w:p>
    <w:p>
      <w:pPr>
        <w:pStyle w:val="20"/>
        <w:numPr>
          <w:ilvl w:val="0"/>
          <w:numId w:val="18"/>
        </w:numPr>
        <w:rPr>
          <w:rFonts w:hint="eastAsia"/>
          <w:lang w:val="en-US" w:eastAsia="zh-CN"/>
        </w:rPr>
      </w:pPr>
      <w:r>
        <w:rPr>
          <w:rFonts w:hint="eastAsia"/>
          <w:lang w:val="en-US" w:eastAsia="zh-CN"/>
        </w:rPr>
        <w:t>GB/T 15496—2017 企业标准体系 要求</w:t>
      </w:r>
    </w:p>
    <w:p>
      <w:pPr>
        <w:pStyle w:val="20"/>
        <w:numPr>
          <w:ilvl w:val="0"/>
          <w:numId w:val="18"/>
        </w:numPr>
        <w:rPr>
          <w:rFonts w:hint="eastAsia" w:hAnsi="Times New Roman" w:eastAsia="宋体" w:cs="Times New Roman"/>
          <w:lang w:val="en-US" w:eastAsia="zh-CN"/>
        </w:rPr>
      </w:pPr>
      <w:r>
        <w:rPr>
          <w:rFonts w:hint="eastAsia" w:hAnsi="Times New Roman" w:eastAsia="宋体" w:cs="Times New Roman"/>
          <w:lang w:val="en-US" w:eastAsia="zh-CN"/>
        </w:rPr>
        <w:t>GB/T 15497—2017 企业标准体系 产品实现</w:t>
      </w:r>
    </w:p>
    <w:p>
      <w:pPr>
        <w:pStyle w:val="20"/>
        <w:numPr>
          <w:ilvl w:val="0"/>
          <w:numId w:val="18"/>
        </w:numPr>
        <w:rPr>
          <w:rFonts w:hint="eastAsia" w:hAnsi="Times New Roman" w:eastAsia="宋体" w:cs="Times New Roman"/>
          <w:lang w:val="en-US" w:eastAsia="zh-CN"/>
        </w:rPr>
      </w:pPr>
      <w:r>
        <w:rPr>
          <w:rFonts w:hint="eastAsia" w:hAnsi="Times New Roman" w:eastAsia="宋体" w:cs="Times New Roman"/>
          <w:lang w:val="en-US" w:eastAsia="zh-CN"/>
        </w:rPr>
        <w:t xml:space="preserve">GB/T 15498—2017 企业标准体系 基础保障 </w:t>
      </w:r>
    </w:p>
    <w:p>
      <w:pPr>
        <w:pStyle w:val="20"/>
        <w:numPr>
          <w:ilvl w:val="0"/>
          <w:numId w:val="18"/>
        </w:numPr>
        <w:rPr>
          <w:rFonts w:hint="eastAsia" w:hAnsi="Times New Roman" w:eastAsia="宋体" w:cs="Times New Roman"/>
          <w:lang w:val="en-US" w:eastAsia="zh-CN"/>
        </w:rPr>
      </w:pPr>
      <w:r>
        <w:rPr>
          <w:rFonts w:hint="eastAsia" w:hAnsi="Times New Roman" w:eastAsia="宋体" w:cs="Times New Roman"/>
          <w:lang w:val="en-US" w:eastAsia="zh-CN"/>
        </w:rPr>
        <w:t xml:space="preserve">GB/T 19273—2017 企业标准化工作 评价与改进 </w:t>
      </w:r>
    </w:p>
    <w:p>
      <w:pPr>
        <w:pStyle w:val="20"/>
        <w:numPr>
          <w:ilvl w:val="0"/>
          <w:numId w:val="18"/>
        </w:numPr>
        <w:rPr>
          <w:rFonts w:hint="eastAsia"/>
          <w:lang w:val="en-US" w:eastAsia="zh-CN"/>
        </w:rPr>
      </w:pPr>
      <w:r>
        <w:rPr>
          <w:rFonts w:hint="eastAsia"/>
          <w:lang w:val="en-US" w:eastAsia="zh-CN"/>
        </w:rPr>
        <w:t>GB/T 20000 标准化工作指南（所有部分）</w:t>
      </w:r>
    </w:p>
    <w:p>
      <w:pPr>
        <w:pStyle w:val="20"/>
        <w:numPr>
          <w:ilvl w:val="0"/>
          <w:numId w:val="18"/>
        </w:numPr>
        <w:rPr>
          <w:rFonts w:hint="eastAsia"/>
          <w:lang w:val="en-US" w:eastAsia="zh-CN"/>
        </w:rPr>
      </w:pPr>
      <w:r>
        <w:rPr>
          <w:rFonts w:hint="eastAsia"/>
          <w:lang w:val="en-US" w:eastAsia="zh-CN"/>
        </w:rPr>
        <w:t>GB/T 20001 标准编写规则（所有部分）</w:t>
      </w:r>
    </w:p>
    <w:p>
      <w:pPr>
        <w:pStyle w:val="20"/>
        <w:numPr>
          <w:ilvl w:val="0"/>
          <w:numId w:val="18"/>
        </w:numPr>
        <w:rPr>
          <w:rFonts w:hint="default" w:hAnsi="Times New Roman" w:eastAsia="宋体" w:cs="Times New Roman"/>
          <w:lang w:val="en-US" w:eastAsia="zh-CN"/>
        </w:rPr>
      </w:pPr>
      <w:r>
        <w:rPr>
          <w:rFonts w:hint="eastAsia" w:hAnsi="Times New Roman" w:eastAsia="宋体" w:cs="Times New Roman"/>
          <w:lang w:val="en-US" w:eastAsia="zh-CN"/>
        </w:rPr>
        <w:t>GB/T 35778—2017 企业标准化工作 指南</w:t>
      </w:r>
    </w:p>
    <w:p>
      <w:pPr>
        <w:pStyle w:val="20"/>
        <w:numPr>
          <w:ilvl w:val="0"/>
          <w:numId w:val="18"/>
        </w:numPr>
        <w:rPr>
          <w:rFonts w:hint="eastAsia" w:hAnsi="Times New Roman" w:eastAsia="宋体" w:cs="Times New Roman"/>
          <w:lang w:val="en-US" w:eastAsia="zh-CN"/>
        </w:rPr>
      </w:pPr>
      <w:r>
        <w:rPr>
          <w:rFonts w:hint="eastAsia" w:hAnsi="Times New Roman" w:eastAsia="宋体" w:cs="Times New Roman"/>
          <w:lang w:val="en-US" w:eastAsia="zh-CN"/>
        </w:rPr>
        <w:t>JR/T 0116—2014 银行业标准化工作指南</w:t>
      </w:r>
    </w:p>
    <w:p>
      <w:pPr>
        <w:pStyle w:val="53"/>
        <w:rPr>
          <w:rFonts w:hint="eastAsia"/>
        </w:rPr>
      </w:pPr>
      <w: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7"/>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rPr>
        <w:rFonts w:hint="eastAsia" w:eastAsia="黑体"/>
        <w:lang w:eastAsia="zh-CN"/>
      </w:rPr>
    </w:pPr>
    <w:r>
      <w:rPr>
        <w:rFonts w:hint="eastAsia"/>
        <w:lang w:eastAsia="zh-CN"/>
      </w:rPr>
      <w:t>Q/SPD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82943"/>
    <w:multiLevelType w:val="singleLevel"/>
    <w:tmpl w:val="D5F82943"/>
    <w:lvl w:ilvl="0" w:tentative="0">
      <w:start w:val="1"/>
      <w:numFmt w:val="decimal"/>
      <w:suff w:val="nothing"/>
      <w:lvlText w:val="[%1]　"/>
      <w:lvlJc w:val="left"/>
    </w:lvl>
  </w:abstractNum>
  <w:abstractNum w:abstractNumId="1">
    <w:nsid w:val="079102AD"/>
    <w:multiLevelType w:val="multilevel"/>
    <w:tmpl w:val="079102AD"/>
    <w:lvl w:ilvl="0" w:tentative="0">
      <w:start w:val="1"/>
      <w:numFmt w:val="decimal"/>
      <w:pStyle w:val="11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9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2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5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2"/>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73"/>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76"/>
      <w:suff w:val="nothing"/>
      <w:lvlText w:val="%1——"/>
      <w:lvlJc w:val="left"/>
      <w:pPr>
        <w:ind w:left="833" w:hanging="408"/>
      </w:pPr>
      <w:rPr>
        <w:rFonts w:hint="eastAsia"/>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8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6"/>
      <w:lvlText w:val="%2)"/>
      <w:lvlJc w:val="left"/>
      <w:pPr>
        <w:tabs>
          <w:tab w:val="left" w:pos="1260"/>
        </w:tabs>
        <w:ind w:left="1259" w:hanging="419"/>
      </w:pPr>
      <w:rPr>
        <w:rFonts w:hint="eastAsia"/>
      </w:rPr>
    </w:lvl>
    <w:lvl w:ilvl="2" w:tentative="0">
      <w:start w:val="1"/>
      <w:numFmt w:val="decimal"/>
      <w:pStyle w:val="11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6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54"/>
      <w:lvlText w:val="%1"/>
      <w:lvlJc w:val="left"/>
      <w:pPr>
        <w:tabs>
          <w:tab w:val="left" w:pos="0"/>
        </w:tabs>
        <w:ind w:left="0" w:hanging="425"/>
      </w:pPr>
      <w:rPr>
        <w:rFonts w:hint="eastAsia"/>
      </w:rPr>
    </w:lvl>
    <w:lvl w:ilvl="1" w:tentative="0">
      <w:start w:val="1"/>
      <w:numFmt w:val="decimal"/>
      <w:pStyle w:val="1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2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61"/>
      <w:lvlText w:val="%1)"/>
      <w:lvlJc w:val="left"/>
      <w:pPr>
        <w:tabs>
          <w:tab w:val="left" w:pos="839"/>
        </w:tabs>
        <w:ind w:left="839" w:hanging="419"/>
      </w:pPr>
      <w:rPr>
        <w:rFonts w:hint="eastAsia" w:ascii="宋体" w:eastAsia="宋体"/>
        <w:b w:val="0"/>
        <w:i w:val="0"/>
        <w:sz w:val="21"/>
      </w:rPr>
    </w:lvl>
    <w:lvl w:ilvl="1" w:tentative="0">
      <w:start w:val="1"/>
      <w:numFmt w:val="decimal"/>
      <w:pStyle w:val="6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4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5"/>
  </w:num>
  <w:num w:numId="3">
    <w:abstractNumId w:val="17"/>
  </w:num>
  <w:num w:numId="4">
    <w:abstractNumId w:val="6"/>
  </w:num>
  <w:num w:numId="5">
    <w:abstractNumId w:val="4"/>
  </w:num>
  <w:num w:numId="6">
    <w:abstractNumId w:val="13"/>
  </w:num>
  <w:num w:numId="7">
    <w:abstractNumId w:val="16"/>
  </w:num>
  <w:num w:numId="8">
    <w:abstractNumId w:val="12"/>
  </w:num>
  <w:num w:numId="9">
    <w:abstractNumId w:val="10"/>
  </w:num>
  <w:num w:numId="10">
    <w:abstractNumId w:val="7"/>
  </w:num>
  <w:num w:numId="11">
    <w:abstractNumId w:val="8"/>
  </w:num>
  <w:num w:numId="12">
    <w:abstractNumId w:val="14"/>
  </w:num>
  <w:num w:numId="13">
    <w:abstractNumId w:val="11"/>
  </w:num>
  <w:num w:numId="14">
    <w:abstractNumId w:val="2"/>
  </w:num>
  <w:num w:numId="15">
    <w:abstractNumId w:val="1"/>
  </w:num>
  <w:num w:numId="16">
    <w:abstractNumId w:val="5"/>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IYg0GWVoRRywHmMhkWwGx7/Lv+A=" w:salt="oEdMns8ZoCmk4vEl/pmKSg=="/>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806C0"/>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4919"/>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6F0462"/>
    <w:rsid w:val="00704DF6"/>
    <w:rsid w:val="0070651C"/>
    <w:rsid w:val="007132A3"/>
    <w:rsid w:val="00716421"/>
    <w:rsid w:val="00724EFB"/>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36DAD"/>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71B6C"/>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D7D219E"/>
    <w:rsid w:val="276B2AAE"/>
    <w:rsid w:val="2C6D3DE2"/>
    <w:rsid w:val="30E852A4"/>
    <w:rsid w:val="35E41D69"/>
    <w:rsid w:val="36BF4DB8"/>
    <w:rsid w:val="43CB4E48"/>
    <w:rsid w:val="52F372FC"/>
    <w:rsid w:val="568C6F89"/>
    <w:rsid w:val="656B3A0F"/>
    <w:rsid w:val="78E806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39" w:semiHidden="0" w:name="toc 1"/>
    <w:lsdException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uiPriority w:val="0"/>
  </w:style>
  <w:style w:type="table" w:default="1" w:styleId="28">
    <w:name w:val="Normal Table"/>
    <w:semiHidden/>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2"/>
      </w:tabs>
      <w:suppressAutoHyphens w:val="0"/>
      <w:ind w:firstLine="1050" w:firstLineChars="500"/>
      <w:jc w:val="left"/>
    </w:pPr>
    <w:rPr>
      <w:rFonts w:ascii="宋体"/>
      <w:szCs w:val="21"/>
    </w:rPr>
  </w:style>
  <w:style w:type="paragraph" w:styleId="3">
    <w:name w:val="index 8"/>
    <w:basedOn w:val="1"/>
    <w:next w:val="1"/>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2"/>
      </w:tabs>
      <w:suppressAutoHyphens w:val="0"/>
      <w:ind w:firstLine="630" w:firstLineChars="300"/>
      <w:jc w:val="left"/>
    </w:pPr>
    <w:rPr>
      <w:rFonts w:ascii="宋体"/>
      <w:szCs w:val="21"/>
    </w:rPr>
  </w:style>
  <w:style w:type="paragraph" w:styleId="10">
    <w:name w:val="toc 3"/>
    <w:basedOn w:val="1"/>
    <w:next w:val="1"/>
    <w:semiHidden/>
    <w:uiPriority w:val="0"/>
    <w:pPr>
      <w:tabs>
        <w:tab w:val="right" w:leader="dot" w:pos="9242"/>
      </w:tabs>
      <w:suppressAutoHyphens w:val="0"/>
      <w:ind w:firstLine="210" w:firstLineChars="100"/>
      <w:jc w:val="left"/>
    </w:pPr>
    <w:rPr>
      <w:rFonts w:ascii="宋体"/>
      <w:szCs w:val="21"/>
    </w:rPr>
  </w:style>
  <w:style w:type="paragraph" w:styleId="11">
    <w:name w:val="toc 8"/>
    <w:basedOn w:val="1"/>
    <w:next w:val="1"/>
    <w:semiHidden/>
    <w:uiPriority w:val="0"/>
    <w:pPr>
      <w:tabs>
        <w:tab w:val="right" w:leader="dot" w:pos="9242"/>
      </w:tabs>
      <w:suppressAutoHyphens w:val="0"/>
      <w:ind w:firstLine="1260"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uiPriority w:val="0"/>
    <w:pPr>
      <w:snapToGrid w:val="0"/>
      <w:jc w:val="left"/>
    </w:pPr>
  </w:style>
  <w:style w:type="paragraph" w:styleId="14">
    <w:name w:val="footer"/>
    <w:basedOn w:val="1"/>
    <w:uiPriority w:val="0"/>
    <w:pPr>
      <w:snapToGrid w:val="0"/>
      <w:ind w:right="210" w:rightChars="100"/>
      <w:jc w:val="right"/>
    </w:pPr>
    <w:rPr>
      <w:sz w:val="18"/>
      <w:szCs w:val="18"/>
    </w:rPr>
  </w:style>
  <w:style w:type="paragraph" w:styleId="15">
    <w:name w:val="header"/>
    <w:basedOn w:val="1"/>
    <w:uiPriority w:val="0"/>
    <w:pPr>
      <w:snapToGrid w:val="0"/>
      <w:jc w:val="left"/>
    </w:pPr>
    <w:rPr>
      <w:sz w:val="18"/>
      <w:szCs w:val="18"/>
    </w:rPr>
  </w:style>
  <w:style w:type="paragraph" w:styleId="16">
    <w:name w:val="toc 1"/>
    <w:basedOn w:val="1"/>
    <w:next w:val="1"/>
    <w:uiPriority w:val="39"/>
    <w:pPr>
      <w:tabs>
        <w:tab w:val="right" w:leader="dot" w:pos="9242"/>
      </w:tabs>
      <w:spacing w:before="79" w:beforeLines="25" w:after="79" w:afterLines="25"/>
      <w:jc w:val="left"/>
    </w:pPr>
    <w:rPr>
      <w:rFonts w:ascii="宋体"/>
      <w:szCs w:val="21"/>
    </w:rPr>
  </w:style>
  <w:style w:type="paragraph" w:styleId="17">
    <w:name w:val="toc 4"/>
    <w:basedOn w:val="1"/>
    <w:next w:val="1"/>
    <w:semiHidden/>
    <w:qFormat/>
    <w:uiPriority w:val="0"/>
    <w:pPr>
      <w:tabs>
        <w:tab w:val="right" w:leader="dot" w:pos="9242"/>
      </w:tabs>
      <w:suppressAutoHyphens w:val="0"/>
      <w:ind w:firstLine="420" w:firstLineChars="200"/>
      <w:jc w:val="left"/>
    </w:pPr>
    <w:rPr>
      <w:rFonts w:ascii="宋体"/>
      <w:szCs w:val="21"/>
    </w:rPr>
  </w:style>
  <w:style w:type="paragraph" w:styleId="18">
    <w:name w:val="index heading"/>
    <w:basedOn w:val="1"/>
    <w:next w:val="19"/>
    <w:uiPriority w:val="0"/>
    <w:pPr>
      <w:spacing w:before="120" w:after="120"/>
      <w:jc w:val="center"/>
    </w:pPr>
    <w:rPr>
      <w:rFonts w:ascii="Calibri" w:hAnsi="Calibri"/>
      <w:b/>
      <w:bCs/>
      <w:iCs/>
      <w:szCs w:val="20"/>
    </w:rPr>
  </w:style>
  <w:style w:type="paragraph" w:styleId="19">
    <w:name w:val="index 1"/>
    <w:basedOn w:val="1"/>
    <w:next w:val="20"/>
    <w:uiPriority w:val="0"/>
    <w:pPr>
      <w:tabs>
        <w:tab w:val="right" w:leader="dot" w:pos="9299"/>
      </w:tabs>
      <w:jc w:val="left"/>
    </w:pPr>
    <w:rPr>
      <w:rFonts w:ascii="宋体"/>
      <w:szCs w:val="21"/>
    </w:rPr>
  </w:style>
  <w:style w:type="paragraph" w:customStyle="1" w:styleId="20">
    <w:name w:val="段"/>
    <w:link w:val="1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uiPriority w:val="0"/>
    <w:pPr>
      <w:numPr>
        <w:ilvl w:val="0"/>
        <w:numId w:val="1"/>
      </w:numPr>
      <w:snapToGrid w:val="0"/>
      <w:jc w:val="left"/>
    </w:pPr>
    <w:rPr>
      <w:rFonts w:ascii="宋体"/>
      <w:sz w:val="18"/>
      <w:szCs w:val="18"/>
    </w:rPr>
  </w:style>
  <w:style w:type="paragraph" w:styleId="22">
    <w:name w:val="toc 6"/>
    <w:basedOn w:val="1"/>
    <w:next w:val="1"/>
    <w:semiHidden/>
    <w:qFormat/>
    <w:uiPriority w:val="0"/>
    <w:pPr>
      <w:tabs>
        <w:tab w:val="right" w:leader="dot" w:pos="9242"/>
      </w:tabs>
      <w:suppressAutoHyphens w:val="0"/>
      <w:ind w:firstLine="840" w:firstLineChars="400"/>
      <w:jc w:val="left"/>
    </w:pPr>
    <w:rPr>
      <w:rFonts w:ascii="宋体"/>
      <w:szCs w:val="21"/>
    </w:rPr>
  </w:style>
  <w:style w:type="paragraph" w:styleId="23">
    <w:name w:val="index 7"/>
    <w:basedOn w:val="1"/>
    <w:next w:val="1"/>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uiPriority w:val="0"/>
    <w:pPr>
      <w:tabs>
        <w:tab w:val="right" w:leader="dot" w:pos="9242"/>
      </w:tabs>
    </w:pPr>
    <w:rPr>
      <w:rFonts w:ascii="宋体"/>
      <w:szCs w:val="21"/>
    </w:rPr>
  </w:style>
  <w:style w:type="paragraph" w:styleId="26">
    <w:name w:val="toc 9"/>
    <w:basedOn w:val="1"/>
    <w:next w:val="1"/>
    <w:semiHidden/>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iPriority w:val="0"/>
    <w:rPr>
      <w:vertAlign w:val="superscript"/>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uiPriority w:val="0"/>
    <w:rPr>
      <w:color w:val="800080"/>
      <w:u w:val="single"/>
    </w:rPr>
  </w:style>
  <w:style w:type="character" w:styleId="34">
    <w:name w:val="Hyperlink"/>
    <w:basedOn w:val="30"/>
    <w:uiPriority w:val="99"/>
    <w:rPr>
      <w:color w:val="0000FF"/>
      <w:spacing w:val="0"/>
      <w:w w:val="100"/>
      <w:szCs w:val="21"/>
      <w:u w:val="single"/>
    </w:rPr>
  </w:style>
  <w:style w:type="character" w:styleId="35">
    <w:name w:val="footnote reference"/>
    <w:basedOn w:val="30"/>
    <w:semiHidden/>
    <w:uiPriority w:val="0"/>
    <w:rPr>
      <w:vertAlign w:val="superscript"/>
    </w:rPr>
  </w:style>
  <w:style w:type="paragraph" w:customStyle="1" w:styleId="36">
    <w:name w:val="封面标准文稿编辑信息"/>
    <w:basedOn w:val="37"/>
    <w:uiPriority w:val="0"/>
    <w:pPr>
      <w:spacing w:before="180" w:line="180" w:lineRule="exact"/>
    </w:pPr>
    <w:rPr>
      <w:sz w:val="21"/>
    </w:rPr>
  </w:style>
  <w:style w:type="paragraph" w:customStyle="1" w:styleId="37">
    <w:name w:val="封面标准文稿类别"/>
    <w:basedOn w:val="38"/>
    <w:uiPriority w:val="0"/>
    <w:pPr>
      <w:spacing w:after="160" w:line="240" w:lineRule="auto"/>
    </w:pPr>
    <w:rPr>
      <w:sz w:val="24"/>
    </w:rPr>
  </w:style>
  <w:style w:type="paragraph" w:customStyle="1" w:styleId="38">
    <w:name w:val="封面一致性程度标识"/>
    <w:basedOn w:val="39"/>
    <w:uiPriority w:val="0"/>
    <w:pPr>
      <w:spacing w:before="440"/>
    </w:pPr>
    <w:rPr>
      <w:rFonts w:ascii="宋体" w:eastAsia="宋体"/>
    </w:rPr>
  </w:style>
  <w:style w:type="paragraph" w:customStyle="1" w:styleId="39">
    <w:name w:val="封面标准英文名称"/>
    <w:basedOn w:val="40"/>
    <w:uiPriority w:val="0"/>
    <w:pPr>
      <w:spacing w:before="370" w:line="400" w:lineRule="exact"/>
    </w:pPr>
    <w:rPr>
      <w:rFonts w:ascii="Times New Roman"/>
      <w:sz w:val="28"/>
      <w:szCs w:val="28"/>
    </w:rPr>
  </w:style>
  <w:style w:type="paragraph" w:customStyle="1" w:styleId="40">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1">
    <w:name w:val="附录一级条标题"/>
    <w:basedOn w:val="42"/>
    <w:next w:val="20"/>
    <w:uiPriority w:val="0"/>
    <w:pPr>
      <w:numPr>
        <w:ilvl w:val="2"/>
        <w:numId w:val="2"/>
      </w:numPr>
      <w:tabs>
        <w:tab w:val="left" w:pos="360"/>
      </w:tabs>
      <w:autoSpaceDN w:val="0"/>
      <w:spacing w:before="50" w:beforeLines="50" w:after="50" w:afterLines="50"/>
      <w:outlineLvl w:val="2"/>
    </w:pPr>
  </w:style>
  <w:style w:type="paragraph" w:customStyle="1" w:styleId="42">
    <w:name w:val="附录章标题"/>
    <w:next w:val="20"/>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3">
    <w:name w:val="封面标准文稿编辑信息2"/>
    <w:basedOn w:val="36"/>
    <w:qFormat/>
    <w:uiPriority w:val="0"/>
    <w:pPr>
      <w:framePr w:y="4469"/>
    </w:pPr>
  </w:style>
  <w:style w:type="paragraph" w:customStyle="1" w:styleId="44">
    <w:name w:val="注："/>
    <w:next w:val="20"/>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5">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0"/>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附录公式"/>
    <w:basedOn w:val="20"/>
    <w:next w:val="20"/>
    <w:link w:val="129"/>
    <w:qFormat/>
    <w:uiPriority w:val="0"/>
  </w:style>
  <w:style w:type="paragraph" w:customStyle="1" w:styleId="48">
    <w:name w:val="附录二级条标题"/>
    <w:basedOn w:val="1"/>
    <w:next w:val="20"/>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4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50">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51">
    <w:name w:val="附录二级无"/>
    <w:basedOn w:val="48"/>
    <w:uiPriority w:val="0"/>
    <w:pPr>
      <w:tabs>
        <w:tab w:val="clear" w:pos="360"/>
      </w:tabs>
      <w:spacing w:before="0" w:beforeLines="0" w:after="0" w:afterLines="0"/>
    </w:pPr>
    <w:rPr>
      <w:rFonts w:ascii="宋体" w:eastAsia="宋体"/>
      <w:szCs w:val="21"/>
    </w:rPr>
  </w:style>
  <w:style w:type="paragraph" w:customStyle="1" w:styleId="52">
    <w:name w:val="图表脚注说明"/>
    <w:basedOn w:val="1"/>
    <w:uiPriority w:val="0"/>
    <w:pPr>
      <w:numPr>
        <w:ilvl w:val="0"/>
        <w:numId w:val="5"/>
      </w:numPr>
    </w:pPr>
    <w:rPr>
      <w:rFonts w:ascii="宋体"/>
      <w:sz w:val="18"/>
      <w:szCs w:val="18"/>
    </w:rPr>
  </w:style>
  <w:style w:type="paragraph" w:customStyle="1" w:styleId="53">
    <w:name w:val="终结线"/>
    <w:basedOn w:val="1"/>
    <w:uiPriority w:val="0"/>
    <w:pPr>
      <w:framePr w:hSpace="181" w:vSpace="181" w:wrap="around" w:vAnchor="text" w:hAnchor="margin" w:xAlign="center" w:y="285"/>
    </w:pPr>
  </w:style>
  <w:style w:type="paragraph" w:customStyle="1" w:styleId="54">
    <w:name w:val="附录表标号"/>
    <w:basedOn w:val="1"/>
    <w:next w:val="20"/>
    <w:uiPriority w:val="0"/>
    <w:pPr>
      <w:numPr>
        <w:ilvl w:val="0"/>
        <w:numId w:val="6"/>
      </w:numPr>
      <w:tabs>
        <w:tab w:val="clear" w:pos="0"/>
      </w:tabs>
      <w:spacing w:line="14" w:lineRule="exact"/>
      <w:ind w:left="811" w:hanging="448"/>
      <w:jc w:val="center"/>
      <w:outlineLvl w:val="0"/>
    </w:pPr>
    <w:rPr>
      <w:color w:val="FFFFFF"/>
    </w:rPr>
  </w:style>
  <w:style w:type="paragraph" w:customStyle="1" w:styleId="55">
    <w:name w:val="发布部门"/>
    <w:next w:val="20"/>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6">
    <w:name w:val="其他标准标志"/>
    <w:basedOn w:val="57"/>
    <w:uiPriority w:val="0"/>
    <w:pPr>
      <w:framePr w:w="6101" w:vAnchor="page" w:hAnchor="page" w:x="4673" w:y="942"/>
    </w:pPr>
    <w:rPr>
      <w:w w:val="130"/>
    </w:rPr>
  </w:style>
  <w:style w:type="paragraph" w:customStyle="1" w:styleId="57">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附录三级条标题"/>
    <w:basedOn w:val="48"/>
    <w:next w:val="20"/>
    <w:uiPriority w:val="0"/>
    <w:pPr>
      <w:numPr>
        <w:ilvl w:val="4"/>
        <w:numId w:val="2"/>
      </w:numPr>
      <w:outlineLvl w:val="4"/>
    </w:pPr>
  </w:style>
  <w:style w:type="paragraph" w:customStyle="1" w:styleId="59">
    <w:name w:val="附录四级无"/>
    <w:basedOn w:val="60"/>
    <w:uiPriority w:val="0"/>
    <w:pPr>
      <w:tabs>
        <w:tab w:val="left" w:pos="360"/>
      </w:tabs>
      <w:spacing w:before="0" w:beforeLines="0" w:after="0" w:afterLines="0"/>
    </w:pPr>
    <w:rPr>
      <w:rFonts w:ascii="宋体" w:eastAsia="宋体"/>
      <w:szCs w:val="21"/>
    </w:rPr>
  </w:style>
  <w:style w:type="paragraph" w:customStyle="1" w:styleId="60">
    <w:name w:val="附录四级条标题"/>
    <w:basedOn w:val="58"/>
    <w:next w:val="20"/>
    <w:uiPriority w:val="0"/>
    <w:pPr>
      <w:numPr>
        <w:ilvl w:val="5"/>
        <w:numId w:val="2"/>
      </w:numPr>
      <w:outlineLvl w:val="5"/>
    </w:pPr>
  </w:style>
  <w:style w:type="paragraph" w:customStyle="1" w:styleId="61">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62">
    <w:name w:val="二级条标题"/>
    <w:basedOn w:val="63"/>
    <w:next w:val="20"/>
    <w:uiPriority w:val="0"/>
    <w:pPr>
      <w:numPr>
        <w:ilvl w:val="2"/>
        <w:numId w:val="4"/>
      </w:numPr>
      <w:spacing w:before="50" w:after="50"/>
      <w:outlineLvl w:val="3"/>
    </w:pPr>
  </w:style>
  <w:style w:type="paragraph" w:customStyle="1" w:styleId="63">
    <w:name w:val="一级条标题"/>
    <w:next w:val="20"/>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4">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65">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66">
    <w:name w:val="正文图标题"/>
    <w:next w:val="20"/>
    <w:uiPriority w:val="0"/>
    <w:pPr>
      <w:numPr>
        <w:ilvl w:val="0"/>
        <w:numId w:val="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7">
    <w:name w:val="图标脚注说明"/>
    <w:basedOn w:val="20"/>
    <w:uiPriority w:val="0"/>
    <w:pPr>
      <w:ind w:left="840" w:hanging="420" w:firstLineChars="0"/>
    </w:pPr>
    <w:rPr>
      <w:sz w:val="18"/>
      <w:szCs w:val="18"/>
    </w:rPr>
  </w:style>
  <w:style w:type="paragraph" w:customStyle="1" w:styleId="68">
    <w:name w:val="其他发布部门"/>
    <w:basedOn w:val="55"/>
    <w:uiPriority w:val="0"/>
    <w:pPr>
      <w:framePr w:y="15310"/>
      <w:spacing w:line="0" w:lineRule="atLeast"/>
    </w:pPr>
    <w:rPr>
      <w:rFonts w:ascii="黑体" w:eastAsia="黑体"/>
      <w:b w:val="0"/>
    </w:rPr>
  </w:style>
  <w:style w:type="paragraph" w:customStyle="1" w:styleId="69">
    <w:name w:val="字母编号列项（一级）"/>
    <w:uiPriority w:val="0"/>
    <w:pPr>
      <w:numPr>
        <w:ilvl w:val="0"/>
        <w:numId w:val="9"/>
      </w:numPr>
      <w:jc w:val="both"/>
    </w:pPr>
    <w:rPr>
      <w:rFonts w:ascii="宋体" w:hAnsi="Times New Roman" w:eastAsia="宋体" w:cs="Times New Roman"/>
      <w:sz w:val="21"/>
      <w:lang w:val="en-US" w:eastAsia="zh-CN" w:bidi="ar-SA"/>
    </w:rPr>
  </w:style>
  <w:style w:type="paragraph" w:customStyle="1" w:styleId="70">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71">
    <w:name w:val="附录标题"/>
    <w:basedOn w:val="20"/>
    <w:next w:val="20"/>
    <w:uiPriority w:val="0"/>
    <w:pPr>
      <w:ind w:firstLine="0" w:firstLineChars="0"/>
      <w:jc w:val="center"/>
    </w:pPr>
    <w:rPr>
      <w:rFonts w:ascii="黑体" w:eastAsia="黑体"/>
    </w:rPr>
  </w:style>
  <w:style w:type="paragraph" w:customStyle="1" w:styleId="72">
    <w:name w:val="三级条标题"/>
    <w:basedOn w:val="62"/>
    <w:next w:val="20"/>
    <w:uiPriority w:val="0"/>
    <w:pPr>
      <w:numPr>
        <w:ilvl w:val="3"/>
        <w:numId w:val="4"/>
      </w:numPr>
      <w:outlineLvl w:val="4"/>
    </w:pPr>
  </w:style>
  <w:style w:type="paragraph" w:customStyle="1" w:styleId="73">
    <w:name w:val="附录图标号"/>
    <w:basedOn w:val="1"/>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74">
    <w:name w:val="标准书眉_偶数页"/>
    <w:basedOn w:val="45"/>
    <w:next w:val="1"/>
    <w:uiPriority w:val="0"/>
    <w:pPr>
      <w:jc w:val="left"/>
    </w:pPr>
    <w:rPr>
      <w:rFonts w:ascii="黑体" w:eastAsia="黑体"/>
    </w:rPr>
  </w:style>
  <w:style w:type="paragraph" w:customStyle="1" w:styleId="75">
    <w:name w:val="封面标准名称2"/>
    <w:basedOn w:val="40"/>
    <w:qFormat/>
    <w:uiPriority w:val="0"/>
    <w:pPr>
      <w:framePr w:y="4469"/>
      <w:spacing w:before="630" w:beforeLines="630"/>
    </w:pPr>
  </w:style>
  <w:style w:type="paragraph" w:customStyle="1" w:styleId="76">
    <w:name w:val="列项——（一级）"/>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77">
    <w:name w:val="条文脚注"/>
    <w:basedOn w:val="21"/>
    <w:uiPriority w:val="0"/>
    <w:pPr>
      <w:numPr>
        <w:ilvl w:val="0"/>
        <w:numId w:val="0"/>
      </w:numPr>
      <w:jc w:val="both"/>
    </w:pPr>
    <w:rPr>
      <w:rFonts w:ascii="宋体"/>
    </w:rPr>
  </w:style>
  <w:style w:type="paragraph" w:customStyle="1" w:styleId="78">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参考文献、索引标题"/>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其他实施日期"/>
    <w:basedOn w:val="81"/>
    <w:uiPriority w:val="0"/>
  </w:style>
  <w:style w:type="paragraph" w:customStyle="1" w:styleId="81">
    <w:name w:val="实施日期"/>
    <w:basedOn w:val="82"/>
    <w:qFormat/>
    <w:uiPriority w:val="0"/>
    <w:pPr>
      <w:framePr w:vAnchor="page" w:hAnchor="page"/>
      <w:jc w:val="right"/>
    </w:pPr>
  </w:style>
  <w:style w:type="paragraph" w:customStyle="1" w:styleId="82">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列项◆（三级）"/>
    <w:basedOn w:val="1"/>
    <w:qFormat/>
    <w:uiPriority w:val="0"/>
    <w:pPr>
      <w:numPr>
        <w:ilvl w:val="2"/>
        <w:numId w:val="11"/>
      </w:numPr>
    </w:pPr>
    <w:rPr>
      <w:rFonts w:ascii="宋体"/>
      <w:szCs w:val="21"/>
    </w:rPr>
  </w:style>
  <w:style w:type="paragraph" w:customStyle="1" w:styleId="86">
    <w:name w:val="数字编号列项（二级）"/>
    <w:uiPriority w:val="0"/>
    <w:pPr>
      <w:numPr>
        <w:ilvl w:val="1"/>
        <w:numId w:val="9"/>
      </w:numPr>
      <w:jc w:val="both"/>
    </w:pPr>
    <w:rPr>
      <w:rFonts w:ascii="宋体" w:hAnsi="Times New Roman" w:eastAsia="宋体" w:cs="Times New Roman"/>
      <w:sz w:val="21"/>
      <w:lang w:val="en-US" w:eastAsia="zh-CN" w:bidi="ar-SA"/>
    </w:rPr>
  </w:style>
  <w:style w:type="paragraph" w:customStyle="1" w:styleId="87">
    <w:name w:val="附录五级条标题"/>
    <w:basedOn w:val="60"/>
    <w:next w:val="20"/>
    <w:qFormat/>
    <w:uiPriority w:val="0"/>
    <w:pPr>
      <w:numPr>
        <w:ilvl w:val="6"/>
        <w:numId w:val="2"/>
      </w:numPr>
      <w:outlineLvl w:val="6"/>
    </w:pPr>
  </w:style>
  <w:style w:type="paragraph" w:customStyle="1" w:styleId="88">
    <w:name w:val="标准书眉一"/>
    <w:uiPriority w:val="0"/>
    <w:pPr>
      <w:jc w:val="both"/>
    </w:pPr>
    <w:rPr>
      <w:rFonts w:ascii="Times New Roman" w:hAnsi="Times New Roman" w:eastAsia="宋体" w:cs="Times New Roman"/>
      <w:lang w:val="en-US" w:eastAsia="zh-CN" w:bidi="ar-SA"/>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注：（正文）"/>
    <w:basedOn w:val="44"/>
    <w:next w:val="20"/>
    <w:uiPriority w:val="0"/>
  </w:style>
  <w:style w:type="paragraph" w:customStyle="1" w:styleId="9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2">
    <w:name w:val="正文表标题"/>
    <w:next w:val="20"/>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3">
    <w:name w:val="示例×："/>
    <w:basedOn w:val="46"/>
    <w:qFormat/>
    <w:uiPriority w:val="0"/>
    <w:pPr>
      <w:numPr>
        <w:ilvl w:val="0"/>
        <w:numId w:val="13"/>
      </w:numPr>
      <w:spacing w:before="0" w:beforeLines="0" w:after="0" w:afterLines="0"/>
      <w:outlineLvl w:val="9"/>
    </w:pPr>
    <w:rPr>
      <w:rFonts w:ascii="宋体" w:eastAsia="宋体"/>
      <w:sz w:val="18"/>
      <w:szCs w:val="18"/>
    </w:rPr>
  </w:style>
  <w:style w:type="paragraph" w:customStyle="1" w:styleId="94">
    <w:name w:val="首示例"/>
    <w:next w:val="20"/>
    <w:link w:val="12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95">
    <w:name w:val="一级无"/>
    <w:basedOn w:val="63"/>
    <w:qFormat/>
    <w:uiPriority w:val="0"/>
    <w:pPr>
      <w:spacing w:before="0" w:beforeLines="0" w:after="0" w:afterLines="0"/>
    </w:pPr>
    <w:rPr>
      <w:rFonts w:ascii="宋体" w:eastAsia="宋体"/>
    </w:rPr>
  </w:style>
  <w:style w:type="paragraph" w:customStyle="1" w:styleId="96">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8">
    <w:name w:val="五级条标题"/>
    <w:basedOn w:val="99"/>
    <w:next w:val="20"/>
    <w:uiPriority w:val="0"/>
    <w:pPr>
      <w:numPr>
        <w:ilvl w:val="5"/>
        <w:numId w:val="4"/>
      </w:numPr>
      <w:outlineLvl w:val="6"/>
    </w:pPr>
  </w:style>
  <w:style w:type="paragraph" w:customStyle="1" w:styleId="99">
    <w:name w:val="四级条标题"/>
    <w:basedOn w:val="72"/>
    <w:next w:val="20"/>
    <w:uiPriority w:val="0"/>
    <w:pPr>
      <w:numPr>
        <w:ilvl w:val="4"/>
        <w:numId w:val="4"/>
      </w:numPr>
      <w:outlineLvl w:val="5"/>
    </w:pPr>
  </w:style>
  <w:style w:type="paragraph" w:customStyle="1" w:styleId="100">
    <w:name w:val="三级无"/>
    <w:basedOn w:val="72"/>
    <w:qFormat/>
    <w:uiPriority w:val="0"/>
    <w:pPr>
      <w:spacing w:before="0" w:beforeLines="0" w:after="0" w:afterLines="0"/>
    </w:pPr>
    <w:rPr>
      <w:rFonts w:ascii="宋体" w:eastAsia="宋体"/>
    </w:rPr>
  </w:style>
  <w:style w:type="paragraph" w:customStyle="1" w:styleId="101">
    <w:name w:val="附录五级无"/>
    <w:basedOn w:val="87"/>
    <w:uiPriority w:val="0"/>
    <w:pPr>
      <w:tabs>
        <w:tab w:val="clear" w:pos="360"/>
      </w:tabs>
      <w:spacing w:before="0" w:beforeLines="0" w:after="0" w:afterLines="0"/>
    </w:pPr>
    <w:rPr>
      <w:rFonts w:ascii="宋体" w:eastAsia="宋体"/>
      <w:szCs w:val="21"/>
    </w:rPr>
  </w:style>
  <w:style w:type="paragraph" w:customStyle="1" w:styleId="102">
    <w:name w:val="附录图标题"/>
    <w:basedOn w:val="1"/>
    <w:next w:val="20"/>
    <w:qFormat/>
    <w:uiPriority w:val="0"/>
    <w:pPr>
      <w:numPr>
        <w:ilvl w:val="1"/>
        <w:numId w:val="10"/>
      </w:numPr>
      <w:tabs>
        <w:tab w:val="left" w:pos="363"/>
      </w:tabs>
      <w:spacing w:before="50" w:beforeLines="50" w:after="50" w:afterLines="50"/>
      <w:ind w:left="0" w:firstLine="0"/>
      <w:jc w:val="center"/>
    </w:pPr>
    <w:rPr>
      <w:rFonts w:ascii="黑体" w:eastAsia="黑体"/>
      <w:szCs w:val="21"/>
    </w:rPr>
  </w:style>
  <w:style w:type="paragraph" w:customStyle="1" w:styleId="103">
    <w:name w:val="封面一致性程度标识2"/>
    <w:basedOn w:val="38"/>
    <w:uiPriority w:val="0"/>
    <w:pPr>
      <w:framePr w:y="4469"/>
    </w:pPr>
  </w:style>
  <w:style w:type="paragraph" w:customStyle="1" w:styleId="104">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5">
    <w:name w:val="四级无"/>
    <w:basedOn w:val="99"/>
    <w:uiPriority w:val="0"/>
    <w:pPr>
      <w:spacing w:before="0" w:beforeLines="0" w:after="0" w:afterLines="0"/>
    </w:pPr>
    <w:rPr>
      <w:rFonts w:ascii="宋体" w:eastAsia="宋体"/>
    </w:rPr>
  </w:style>
  <w:style w:type="paragraph" w:customStyle="1" w:styleId="106">
    <w:name w:val="前言、引言标题"/>
    <w:next w:val="20"/>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7">
    <w:name w:val="二级无"/>
    <w:basedOn w:val="62"/>
    <w:qFormat/>
    <w:uiPriority w:val="0"/>
    <w:pPr>
      <w:spacing w:before="0" w:beforeLines="0" w:after="0" w:afterLines="0"/>
      <w:ind w:left="0" w:firstLine="0"/>
    </w:pPr>
    <w:rPr>
      <w:rFonts w:ascii="宋体" w:eastAsia="宋体"/>
    </w:rPr>
  </w:style>
  <w:style w:type="paragraph" w:customStyle="1" w:styleId="108">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09">
    <w:name w:val="参考文献"/>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0">
    <w:name w:val="附录表标题"/>
    <w:basedOn w:val="1"/>
    <w:next w:val="20"/>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111">
    <w:name w:val="编号列项（三级）"/>
    <w:uiPriority w:val="0"/>
    <w:pPr>
      <w:numPr>
        <w:ilvl w:val="2"/>
        <w:numId w:val="9"/>
      </w:numPr>
    </w:pPr>
    <w:rPr>
      <w:rFonts w:ascii="宋体" w:hAnsi="Times New Roman" w:eastAsia="宋体" w:cs="Times New Roman"/>
      <w:sz w:val="21"/>
      <w:lang w:val="en-US" w:eastAsia="zh-CN" w:bidi="ar-SA"/>
    </w:rPr>
  </w:style>
  <w:style w:type="paragraph" w:customStyle="1" w:styleId="112">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4">
    <w:name w:val="五级无"/>
    <w:basedOn w:val="98"/>
    <w:qFormat/>
    <w:uiPriority w:val="0"/>
    <w:pPr>
      <w:spacing w:before="0" w:beforeLines="0" w:after="0" w:afterLines="0"/>
    </w:pPr>
    <w:rPr>
      <w:rFonts w:ascii="宋体" w:eastAsia="宋体"/>
    </w:rPr>
  </w:style>
  <w:style w:type="paragraph" w:customStyle="1" w:styleId="115">
    <w:name w:val="注×："/>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1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19">
    <w:name w:val="封面标准文稿类别2"/>
    <w:basedOn w:val="37"/>
    <w:uiPriority w:val="0"/>
    <w:pPr>
      <w:framePr w:y="4469"/>
    </w:pPr>
  </w:style>
  <w:style w:type="paragraph" w:customStyle="1" w:styleId="120">
    <w:name w:val="示例"/>
    <w:next w:val="65"/>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21">
    <w:name w:val="附录三级无"/>
    <w:basedOn w:val="58"/>
    <w:qFormat/>
    <w:uiPriority w:val="0"/>
    <w:pPr>
      <w:tabs>
        <w:tab w:val="clear" w:pos="360"/>
      </w:tabs>
      <w:spacing w:before="0" w:beforeLines="0" w:after="0" w:afterLines="0"/>
    </w:pPr>
    <w:rPr>
      <w:rFonts w:ascii="宋体" w:eastAsia="宋体"/>
      <w:szCs w:val="21"/>
    </w:rPr>
  </w:style>
  <w:style w:type="paragraph" w:customStyle="1" w:styleId="122">
    <w:name w:val="正文公式编号制表符"/>
    <w:basedOn w:val="20"/>
    <w:next w:val="20"/>
    <w:qFormat/>
    <w:uiPriority w:val="0"/>
    <w:pPr>
      <w:ind w:firstLine="0" w:firstLineChars="0"/>
    </w:pPr>
  </w:style>
  <w:style w:type="paragraph" w:customStyle="1" w:styleId="123">
    <w:name w:val="封面标准英文名称2"/>
    <w:basedOn w:val="39"/>
    <w:qFormat/>
    <w:uiPriority w:val="0"/>
    <w:pPr>
      <w:framePr w:y="4469"/>
    </w:pPr>
  </w:style>
  <w:style w:type="paragraph" w:customStyle="1" w:styleId="124">
    <w:name w:val="其他发布日期"/>
    <w:basedOn w:val="82"/>
    <w:qFormat/>
    <w:uiPriority w:val="0"/>
    <w:pPr>
      <w:framePr w:vAnchor="page" w:hAnchor="page" w:x="1419"/>
    </w:pPr>
  </w:style>
  <w:style w:type="paragraph" w:customStyle="1" w:styleId="125">
    <w:name w:val="示例后文字"/>
    <w:basedOn w:val="20"/>
    <w:next w:val="20"/>
    <w:qFormat/>
    <w:uiPriority w:val="0"/>
    <w:pPr>
      <w:ind w:firstLine="360"/>
    </w:pPr>
    <w:rPr>
      <w:sz w:val="18"/>
    </w:rPr>
  </w:style>
  <w:style w:type="paragraph" w:customStyle="1" w:styleId="126">
    <w:name w:val="附录标识"/>
    <w:basedOn w:val="1"/>
    <w:next w:val="20"/>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7">
    <w:name w:val="附录一级无"/>
    <w:basedOn w:val="41"/>
    <w:uiPriority w:val="0"/>
    <w:pPr>
      <w:tabs>
        <w:tab w:val="clear" w:pos="360"/>
      </w:tabs>
      <w:spacing w:before="0" w:beforeLines="0" w:after="0" w:afterLines="0"/>
    </w:pPr>
    <w:rPr>
      <w:rFonts w:ascii="宋体" w:eastAsia="宋体"/>
      <w:szCs w:val="21"/>
    </w:rPr>
  </w:style>
  <w:style w:type="character" w:customStyle="1" w:styleId="128">
    <w:name w:val="首示例 Char"/>
    <w:basedOn w:val="30"/>
    <w:link w:val="94"/>
    <w:uiPriority w:val="0"/>
    <w:rPr>
      <w:rFonts w:ascii="宋体" w:hAnsi="宋体"/>
      <w:kern w:val="2"/>
      <w:sz w:val="18"/>
      <w:szCs w:val="18"/>
      <w:lang w:val="en-US" w:eastAsia="zh-CN" w:bidi="ar-SA"/>
    </w:rPr>
  </w:style>
  <w:style w:type="character" w:customStyle="1" w:styleId="129">
    <w:name w:val="附录公式 Char"/>
    <w:basedOn w:val="130"/>
    <w:link w:val="47"/>
    <w:uiPriority w:val="0"/>
  </w:style>
  <w:style w:type="character" w:customStyle="1" w:styleId="130">
    <w:name w:val="段 Char"/>
    <w:basedOn w:val="30"/>
    <w:link w:val="20"/>
    <w:qFormat/>
    <w:uiPriority w:val="0"/>
    <w:rPr>
      <w:rFonts w:ascii="宋体"/>
      <w:sz w:val="21"/>
      <w:lang w:val="en-US" w:eastAsia="zh-CN" w:bidi="ar-SA"/>
    </w:rPr>
  </w:style>
  <w:style w:type="character" w:customStyle="1" w:styleId="131">
    <w:name w:val="发布"/>
    <w:basedOn w:val="30"/>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UrgentMatters\&#20225;&#19994;&#26631;&#20934;&#20307;&#31995;\02%20&#21776;&#23665;&#38134;&#34892;&#35797;&#28857;\2021004-0225%20&#20225;&#26631;&#27169;&#26495;\&#21776;&#23665;&#38134;&#34892;&#20225;&#19994;&#26631;&#2093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唐山银行企业标准模板.dot</Template>
  <Pages>8</Pages>
  <Words>559</Words>
  <Characters>673</Characters>
  <Lines>12</Lines>
  <Paragraphs>3</Paragraphs>
  <TotalTime>2</TotalTime>
  <ScaleCrop>false</ScaleCrop>
  <LinksUpToDate>false</LinksUpToDate>
  <CharactersWithSpaces>707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2021-02-25T02:34:00Z</dcterms:created>
  <dcterms:modified xsi:type="dcterms:W3CDTF">2022-09-16T02:53:45Z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CA55891B723C4592BFA3CD5FCC8746D0</vt:lpwstr>
  </property>
</Properties>
</file>