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1A7D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767909A5" w14:textId="77777777" w:rsidR="007674A0" w:rsidRDefault="0000000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C48087A" wp14:editId="727A231C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7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3EFC9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26C2BAC7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17842615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43B5B989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2D9BA8AB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47A2712D" w14:textId="77777777" w:rsidR="007674A0" w:rsidRDefault="00000000">
      <w:pPr>
        <w:jc w:val="center"/>
        <w:rPr>
          <w:rFonts w:ascii="黑体" w:eastAsia="黑体" w:hAnsi="黑体" w:cs="黑体"/>
          <w:spacing w:val="40"/>
          <w:sz w:val="72"/>
          <w:szCs w:val="72"/>
        </w:rPr>
      </w:pPr>
      <w:r>
        <w:rPr>
          <w:rFonts w:ascii="黑体" w:eastAsia="黑体" w:hAnsi="黑体" w:cs="黑体" w:hint="eastAsia"/>
          <w:spacing w:val="40"/>
          <w:sz w:val="72"/>
          <w:szCs w:val="72"/>
        </w:rPr>
        <w:t>中国银行业理财市场</w:t>
      </w:r>
    </w:p>
    <w:p w14:paraId="3DDCA902" w14:textId="77777777" w:rsidR="007674A0" w:rsidRDefault="00000000">
      <w:pPr>
        <w:jc w:val="center"/>
        <w:rPr>
          <w:rFonts w:ascii="黑体" w:eastAsia="黑体" w:hAnsi="黑体" w:cs="黑体"/>
          <w:spacing w:val="40"/>
          <w:sz w:val="72"/>
          <w:szCs w:val="72"/>
        </w:rPr>
      </w:pPr>
      <w:r>
        <w:rPr>
          <w:rFonts w:ascii="黑体" w:eastAsia="黑体" w:hAnsi="黑体" w:cs="黑体" w:hint="eastAsia"/>
          <w:spacing w:val="40"/>
          <w:sz w:val="72"/>
          <w:szCs w:val="72"/>
        </w:rPr>
        <w:t>指数报告</w:t>
      </w:r>
    </w:p>
    <w:p w14:paraId="554C8D83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74DDC7FB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7B4DEFE0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77F862C7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0EF2569F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01F1BBA7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31B89763" w14:textId="77777777" w:rsidR="007674A0" w:rsidRDefault="007674A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14:paraId="119480C5" w14:textId="77777777" w:rsidR="007674A0" w:rsidRDefault="00000000">
      <w:pPr>
        <w:spacing w:line="360" w:lineRule="auto"/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发布机构：中国银行业协会</w:t>
      </w:r>
    </w:p>
    <w:p w14:paraId="091CBAD8" w14:textId="77777777" w:rsidR="007674A0" w:rsidRDefault="00000000">
      <w:pPr>
        <w:spacing w:line="360" w:lineRule="auto"/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数据支持：</w:t>
      </w:r>
      <w:proofErr w:type="gramStart"/>
      <w:r>
        <w:rPr>
          <w:rFonts w:ascii="楷体" w:eastAsia="楷体" w:hAnsi="楷体" w:cs="Times New Roman" w:hint="eastAsia"/>
          <w:sz w:val="28"/>
          <w:szCs w:val="28"/>
        </w:rPr>
        <w:t>普益标准</w:t>
      </w:r>
      <w:proofErr w:type="gramEnd"/>
    </w:p>
    <w:p w14:paraId="2E38A991" w14:textId="77777777" w:rsidR="007674A0" w:rsidRDefault="007674A0">
      <w:pPr>
        <w:spacing w:line="400" w:lineRule="exact"/>
        <w:jc w:val="center"/>
        <w:rPr>
          <w:rFonts w:ascii="楷体" w:eastAsia="楷体" w:hAnsi="楷体" w:cs="Times New Roman"/>
          <w:sz w:val="28"/>
          <w:szCs w:val="28"/>
        </w:rPr>
      </w:pPr>
    </w:p>
    <w:p w14:paraId="4ECDE2E3" w14:textId="77777777" w:rsidR="007674A0" w:rsidRDefault="007674A0">
      <w:pPr>
        <w:spacing w:line="400" w:lineRule="exact"/>
        <w:jc w:val="center"/>
        <w:rPr>
          <w:rFonts w:ascii="楷体" w:eastAsia="楷体" w:hAnsi="楷体" w:cs="Times New Roman"/>
          <w:sz w:val="28"/>
          <w:szCs w:val="28"/>
        </w:rPr>
      </w:pPr>
    </w:p>
    <w:p w14:paraId="4B85F5AE" w14:textId="1ABF8B20" w:rsidR="007674A0" w:rsidRDefault="00000000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（2022年</w:t>
      </w:r>
      <w:r w:rsidR="00DD6D06">
        <w:rPr>
          <w:rFonts w:ascii="楷体" w:eastAsia="楷体" w:hAnsi="楷体" w:cs="楷体"/>
          <w:b/>
          <w:bCs/>
          <w:sz w:val="36"/>
          <w:szCs w:val="36"/>
        </w:rPr>
        <w:t>8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月）</w:t>
      </w:r>
    </w:p>
    <w:p w14:paraId="6D2EFE88" w14:textId="77777777" w:rsidR="007674A0" w:rsidRDefault="00000000">
      <w:pPr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br w:type="page"/>
      </w:r>
    </w:p>
    <w:p w14:paraId="3EE79DF1" w14:textId="77777777" w:rsidR="007674A0" w:rsidRDefault="00000000">
      <w:pPr>
        <w:jc w:val="center"/>
        <w:rPr>
          <w:rFonts w:ascii="华文楷体" w:eastAsia="华文楷体" w:hAnsi="华文楷体" w:cs="华文楷体"/>
          <w:b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lastRenderedPageBreak/>
        <w:t>报告简介</w:t>
      </w:r>
    </w:p>
    <w:p w14:paraId="56A30E2D" w14:textId="77777777" w:rsidR="007674A0" w:rsidRDefault="007674A0">
      <w:pPr>
        <w:jc w:val="center"/>
        <w:rPr>
          <w:rFonts w:ascii="华文楷体" w:eastAsia="华文楷体" w:hAnsi="华文楷体" w:cs="华文楷体"/>
          <w:b/>
          <w:bCs/>
          <w:sz w:val="32"/>
          <w:szCs w:val="32"/>
        </w:rPr>
      </w:pPr>
    </w:p>
    <w:p w14:paraId="4863B634" w14:textId="77777777" w:rsidR="007674A0" w:rsidRDefault="00000000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color w:val="000000" w:themeColor="text1"/>
          <w:sz w:val="24"/>
        </w:rPr>
        <w:t>具体，中国银行业理财市场指数报告涵盖了以下三类指数：</w:t>
      </w:r>
    </w:p>
    <w:p w14:paraId="3451CB46" w14:textId="77777777" w:rsidR="007674A0" w:rsidRDefault="00000000">
      <w:pPr>
        <w:spacing w:line="360" w:lineRule="auto"/>
        <w:ind w:firstLineChars="200" w:firstLine="482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4"/>
        </w:rPr>
        <w:t>现金管理类产品综合收益指数。</w:t>
      </w:r>
      <w:r>
        <w:rPr>
          <w:rFonts w:ascii="楷体" w:eastAsia="楷体" w:hAnsi="楷体" w:cs="楷体" w:hint="eastAsia"/>
          <w:color w:val="000000" w:themeColor="text1"/>
          <w:sz w:val="24"/>
        </w:rPr>
        <w:t>以2021年4月4日当周为基期周，以100点为基点，监测筛选的60款银行现金管理类产品的</w:t>
      </w:r>
      <w:proofErr w:type="gramStart"/>
      <w:r>
        <w:rPr>
          <w:rFonts w:ascii="楷体" w:eastAsia="楷体" w:hAnsi="楷体" w:cs="楷体" w:hint="eastAsia"/>
          <w:color w:val="000000" w:themeColor="text1"/>
          <w:sz w:val="24"/>
        </w:rPr>
        <w:t>七日年化收益率</w:t>
      </w:r>
      <w:proofErr w:type="gramEnd"/>
      <w:r>
        <w:rPr>
          <w:rFonts w:ascii="楷体" w:eastAsia="楷体" w:hAnsi="楷体" w:cs="楷体" w:hint="eastAsia"/>
          <w:color w:val="000000" w:themeColor="text1"/>
          <w:sz w:val="24"/>
        </w:rPr>
        <w:t>的一周平均值，综合反映银行现金管理类产品七日</w:t>
      </w:r>
      <w:proofErr w:type="gramStart"/>
      <w:r>
        <w:rPr>
          <w:rFonts w:ascii="楷体" w:eastAsia="楷体" w:hAnsi="楷体" w:cs="楷体" w:hint="eastAsia"/>
          <w:color w:val="000000" w:themeColor="text1"/>
          <w:sz w:val="24"/>
        </w:rPr>
        <w:t>年化收益率周</w:t>
      </w:r>
      <w:proofErr w:type="gramEnd"/>
      <w:r>
        <w:rPr>
          <w:rFonts w:ascii="楷体" w:eastAsia="楷体" w:hAnsi="楷体" w:cs="楷体" w:hint="eastAsia"/>
          <w:color w:val="000000" w:themeColor="text1"/>
          <w:sz w:val="24"/>
        </w:rPr>
        <w:t>均值的变化情况。</w:t>
      </w:r>
    </w:p>
    <w:p w14:paraId="40F002DD" w14:textId="77777777" w:rsidR="007674A0" w:rsidRDefault="00000000">
      <w:pPr>
        <w:spacing w:line="360" w:lineRule="auto"/>
        <w:ind w:firstLineChars="200" w:firstLine="482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4"/>
        </w:rPr>
        <w:t>六个月投资周期产品综合价格指数。</w:t>
      </w:r>
      <w:r>
        <w:rPr>
          <w:rFonts w:ascii="楷体" w:eastAsia="楷体" w:hAnsi="楷体" w:cs="楷体" w:hint="eastAsia"/>
          <w:color w:val="000000" w:themeColor="text1"/>
          <w:sz w:val="24"/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 w14:paraId="52AAA83C" w14:textId="77777777" w:rsidR="007674A0" w:rsidRDefault="00000000">
      <w:pPr>
        <w:spacing w:line="360" w:lineRule="auto"/>
        <w:ind w:firstLineChars="200" w:firstLine="482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4"/>
        </w:rPr>
        <w:t>一年投资周期产品综合价格指数。</w:t>
      </w:r>
      <w:r>
        <w:rPr>
          <w:rFonts w:ascii="楷体" w:eastAsia="楷体" w:hAnsi="楷体" w:cs="楷体" w:hint="eastAsia"/>
          <w:color w:val="000000" w:themeColor="text1"/>
          <w:sz w:val="24"/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 w14:paraId="7804D85D" w14:textId="77777777" w:rsidR="007674A0" w:rsidRDefault="007674A0">
      <w:pPr>
        <w:spacing w:line="360" w:lineRule="auto"/>
        <w:ind w:firstLineChars="200" w:firstLine="482"/>
        <w:rPr>
          <w:rFonts w:ascii="楷体" w:eastAsia="楷体" w:hAnsi="楷体" w:cs="楷体"/>
          <w:b/>
          <w:bCs/>
          <w:color w:val="000000" w:themeColor="text1"/>
          <w:sz w:val="24"/>
        </w:rPr>
      </w:pPr>
    </w:p>
    <w:p w14:paraId="6CED6E6E" w14:textId="77777777" w:rsidR="007674A0" w:rsidRDefault="00000000">
      <w:pPr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color w:val="000000" w:themeColor="text1"/>
          <w:sz w:val="24"/>
        </w:rPr>
        <w:br w:type="page"/>
      </w:r>
    </w:p>
    <w:p w14:paraId="6BB25B88" w14:textId="77777777" w:rsidR="007674A0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 w:cs="华文楷体"/>
          <w:b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lastRenderedPageBreak/>
        <w:t>现金管理类产品收益指数</w:t>
      </w:r>
    </w:p>
    <w:p w14:paraId="346E6E10" w14:textId="6959FE23" w:rsidR="007674A0" w:rsidRPr="00DD6D06" w:rsidRDefault="00000000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color w:val="000000" w:themeColor="text1"/>
          <w:sz w:val="24"/>
        </w:rPr>
        <w:t>2022年</w:t>
      </w:r>
      <w:r w:rsidR="00DD6D06">
        <w:rPr>
          <w:rFonts w:ascii="楷体" w:eastAsia="楷体" w:hAnsi="楷体" w:cs="楷体"/>
          <w:color w:val="000000" w:themeColor="text1"/>
          <w:sz w:val="24"/>
        </w:rPr>
        <w:t>8</w:t>
      </w:r>
      <w:r>
        <w:rPr>
          <w:rFonts w:ascii="楷体" w:eastAsia="楷体" w:hAnsi="楷体" w:cs="楷体" w:hint="eastAsia"/>
          <w:color w:val="000000" w:themeColor="text1"/>
          <w:sz w:val="24"/>
        </w:rPr>
        <w:t>月</w:t>
      </w:r>
      <w:r w:rsidR="00DD6D06">
        <w:rPr>
          <w:rFonts w:ascii="楷体" w:eastAsia="楷体" w:hAnsi="楷体" w:cs="楷体"/>
          <w:color w:val="000000" w:themeColor="text1"/>
          <w:sz w:val="24"/>
        </w:rPr>
        <w:t>28</w:t>
      </w:r>
      <w:r>
        <w:rPr>
          <w:rFonts w:ascii="楷体" w:eastAsia="楷体" w:hAnsi="楷体" w:cs="楷体" w:hint="eastAsia"/>
          <w:color w:val="000000" w:themeColor="text1"/>
          <w:sz w:val="24"/>
        </w:rPr>
        <w:t>日当周，全国精选60款现金管理类产品收益指数，为</w:t>
      </w:r>
      <w:r w:rsidR="00DD6D06">
        <w:rPr>
          <w:rFonts w:ascii="楷体" w:eastAsia="楷体" w:hAnsi="楷体" w:cs="楷体"/>
          <w:color w:val="000000" w:themeColor="text1"/>
          <w:sz w:val="24"/>
        </w:rPr>
        <w:t>75.78</w:t>
      </w:r>
      <w:r>
        <w:rPr>
          <w:rFonts w:ascii="楷体" w:eastAsia="楷体" w:hAnsi="楷体" w:cs="楷体" w:hint="eastAsia"/>
          <w:color w:val="000000" w:themeColor="text1"/>
          <w:sz w:val="24"/>
        </w:rPr>
        <w:t>点，较</w:t>
      </w:r>
      <w:r w:rsidR="00DD6D06">
        <w:rPr>
          <w:rFonts w:ascii="楷体" w:eastAsia="楷体" w:hAnsi="楷体" w:cs="楷体"/>
          <w:color w:val="000000" w:themeColor="text1"/>
          <w:sz w:val="24"/>
        </w:rPr>
        <w:t>8</w:t>
      </w:r>
      <w:r>
        <w:rPr>
          <w:rFonts w:ascii="楷体" w:eastAsia="楷体" w:hAnsi="楷体" w:cs="楷体" w:hint="eastAsia"/>
          <w:color w:val="000000" w:themeColor="text1"/>
          <w:sz w:val="24"/>
        </w:rPr>
        <w:t>月2</w:t>
      </w:r>
      <w:r w:rsidR="00DD6D06">
        <w:rPr>
          <w:rFonts w:ascii="楷体" w:eastAsia="楷体" w:hAnsi="楷体" w:cs="楷体"/>
          <w:color w:val="000000" w:themeColor="text1"/>
          <w:sz w:val="24"/>
        </w:rPr>
        <w:t>1</w:t>
      </w:r>
      <w:r>
        <w:rPr>
          <w:rFonts w:ascii="楷体" w:eastAsia="楷体" w:hAnsi="楷体" w:cs="楷体" w:hint="eastAsia"/>
          <w:color w:val="000000" w:themeColor="text1"/>
          <w:sz w:val="24"/>
        </w:rPr>
        <w:t>日当周环比下降</w:t>
      </w:r>
      <w:r w:rsidR="00DD6D06">
        <w:rPr>
          <w:rFonts w:ascii="楷体" w:eastAsia="楷体" w:hAnsi="楷体" w:cs="楷体"/>
          <w:color w:val="000000" w:themeColor="text1"/>
          <w:sz w:val="24"/>
        </w:rPr>
        <w:t>1.67</w:t>
      </w:r>
      <w:r>
        <w:rPr>
          <w:rFonts w:ascii="楷体" w:eastAsia="楷体" w:hAnsi="楷体" w:cs="楷体" w:hint="eastAsia"/>
          <w:color w:val="000000" w:themeColor="text1"/>
          <w:sz w:val="24"/>
        </w:rPr>
        <w:t>点，环比下降</w:t>
      </w:r>
      <w:r w:rsidR="00DD6D06">
        <w:rPr>
          <w:rFonts w:ascii="楷体" w:eastAsia="楷体" w:hAnsi="楷体" w:cs="楷体"/>
          <w:color w:val="000000" w:themeColor="text1"/>
          <w:sz w:val="24"/>
        </w:rPr>
        <w:t>2.16</w:t>
      </w:r>
      <w:r>
        <w:rPr>
          <w:rFonts w:ascii="楷体" w:eastAsia="楷体" w:hAnsi="楷体" w:cs="楷体" w:hint="eastAsia"/>
          <w:color w:val="000000" w:themeColor="text1"/>
          <w:sz w:val="24"/>
        </w:rPr>
        <w:t>%，较基期周</w:t>
      </w:r>
      <w:r>
        <w:rPr>
          <w:rStyle w:val="a8"/>
          <w:rFonts w:ascii="楷体" w:eastAsia="楷体" w:hAnsi="楷体" w:cs="楷体" w:hint="eastAsia"/>
          <w:color w:val="000000" w:themeColor="text1"/>
          <w:sz w:val="24"/>
        </w:rPr>
        <w:footnoteReference w:id="1"/>
      </w:r>
      <w:r>
        <w:rPr>
          <w:rFonts w:ascii="楷体" w:eastAsia="楷体" w:hAnsi="楷体" w:cs="楷体" w:hint="eastAsia"/>
          <w:color w:val="000000" w:themeColor="text1"/>
          <w:sz w:val="24"/>
        </w:rPr>
        <w:t>下降2</w:t>
      </w:r>
      <w:r w:rsidR="00DD6D06">
        <w:rPr>
          <w:rFonts w:ascii="楷体" w:eastAsia="楷体" w:hAnsi="楷体" w:cs="楷体"/>
          <w:color w:val="000000" w:themeColor="text1"/>
          <w:sz w:val="24"/>
        </w:rPr>
        <w:t>4.22</w:t>
      </w:r>
      <w:r>
        <w:rPr>
          <w:rFonts w:ascii="楷体" w:eastAsia="楷体" w:hAnsi="楷体" w:cs="楷体" w:hint="eastAsia"/>
          <w:color w:val="000000" w:themeColor="text1"/>
          <w:sz w:val="24"/>
        </w:rPr>
        <w:t>点，下降2</w:t>
      </w:r>
      <w:r w:rsidR="00DD6D06">
        <w:rPr>
          <w:rFonts w:ascii="楷体" w:eastAsia="楷体" w:hAnsi="楷体" w:cs="楷体"/>
          <w:color w:val="000000" w:themeColor="text1"/>
          <w:sz w:val="24"/>
        </w:rPr>
        <w:t>4.22</w:t>
      </w:r>
      <w:r>
        <w:rPr>
          <w:rFonts w:ascii="楷体" w:eastAsia="楷体" w:hAnsi="楷体" w:cs="楷体" w:hint="eastAsia"/>
          <w:color w:val="000000" w:themeColor="text1"/>
          <w:sz w:val="24"/>
        </w:rPr>
        <w:t>%。</w:t>
      </w:r>
    </w:p>
    <w:p w14:paraId="0B8126D2" w14:textId="77777777" w:rsidR="007674A0" w:rsidRDefault="00000000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/>
          <w:szCs w:val="21"/>
        </w:rPr>
        <w:t>图</w:t>
      </w:r>
      <w:r>
        <w:rPr>
          <w:rFonts w:ascii="楷体" w:eastAsia="楷体" w:hAnsi="楷体" w:cs="楷体" w:hint="eastAsia"/>
          <w:szCs w:val="21"/>
        </w:rPr>
        <w:t>1</w:t>
      </w:r>
      <w:r>
        <w:rPr>
          <w:rFonts w:ascii="楷体" w:eastAsia="楷体" w:hAnsi="楷体" w:cs="楷体"/>
          <w:szCs w:val="21"/>
        </w:rPr>
        <w:t>：</w:t>
      </w:r>
      <w:r>
        <w:rPr>
          <w:rFonts w:ascii="楷体" w:eastAsia="楷体" w:hAnsi="楷体" w:cs="楷体" w:hint="eastAsia"/>
          <w:szCs w:val="21"/>
        </w:rPr>
        <w:t>现金管理类产品收益指数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674A0" w14:paraId="430711A5" w14:textId="77777777">
        <w:tc>
          <w:tcPr>
            <w:tcW w:w="8522" w:type="dxa"/>
            <w:vAlign w:val="center"/>
          </w:tcPr>
          <w:p w14:paraId="74BAF2F2" w14:textId="084E1CC4" w:rsidR="007674A0" w:rsidRDefault="00DD6D0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7B24413" wp14:editId="4CEA6192">
                  <wp:extent cx="5232400" cy="3672840"/>
                  <wp:effectExtent l="0" t="0" r="6350" b="3810"/>
                  <wp:docPr id="3" name="图表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013CB7CB" w14:textId="77777777" w:rsidR="007674A0" w:rsidRDefault="00000000">
      <w:pPr>
        <w:rPr>
          <w:rFonts w:ascii="楷体" w:eastAsia="楷体" w:hAnsi="楷体" w:cs="楷体"/>
          <w:sz w:val="18"/>
          <w:szCs w:val="18"/>
        </w:rPr>
      </w:pPr>
      <w:r>
        <w:rPr>
          <w:rFonts w:ascii="楷体" w:eastAsia="楷体" w:hAnsi="楷体" w:cs="楷体" w:hint="eastAsia"/>
          <w:sz w:val="18"/>
          <w:szCs w:val="18"/>
        </w:rPr>
        <w:t>数据来源：</w:t>
      </w:r>
      <w:proofErr w:type="gramStart"/>
      <w:r>
        <w:rPr>
          <w:rFonts w:ascii="楷体" w:eastAsia="楷体" w:hAnsi="楷体" w:cs="楷体" w:hint="eastAsia"/>
          <w:sz w:val="18"/>
          <w:szCs w:val="18"/>
        </w:rPr>
        <w:t>普益标准</w:t>
      </w:r>
      <w:proofErr w:type="gramEnd"/>
    </w:p>
    <w:p w14:paraId="116399DA" w14:textId="77777777" w:rsidR="007674A0" w:rsidRDefault="007674A0">
      <w:pPr>
        <w:spacing w:line="360" w:lineRule="auto"/>
        <w:rPr>
          <w:rFonts w:ascii="楷体" w:eastAsia="楷体" w:hAnsi="楷体" w:cs="楷体"/>
          <w:color w:val="000000" w:themeColor="text1"/>
          <w:sz w:val="24"/>
        </w:rPr>
      </w:pPr>
    </w:p>
    <w:p w14:paraId="3511EF07" w14:textId="77777777" w:rsidR="007674A0" w:rsidRDefault="00000000">
      <w:pPr>
        <w:spacing w:line="360" w:lineRule="auto"/>
        <w:ind w:firstLineChars="200" w:firstLine="482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精选60现金管理产品七日</w:t>
      </w:r>
      <w:proofErr w:type="gramStart"/>
      <w:r>
        <w:rPr>
          <w:rFonts w:ascii="楷体" w:eastAsia="楷体" w:hAnsi="楷体" w:cs="楷体" w:hint="eastAsia"/>
          <w:b/>
          <w:bCs/>
          <w:sz w:val="24"/>
        </w:rPr>
        <w:t>年化收益率周</w:t>
      </w:r>
      <w:proofErr w:type="gramEnd"/>
      <w:r>
        <w:rPr>
          <w:rFonts w:ascii="楷体" w:eastAsia="楷体" w:hAnsi="楷体" w:cs="楷体" w:hint="eastAsia"/>
          <w:b/>
          <w:bCs/>
          <w:sz w:val="24"/>
        </w:rPr>
        <w:t>均值持续下行</w:t>
      </w:r>
    </w:p>
    <w:p w14:paraId="0C0BB2AE" w14:textId="6AFFEF13" w:rsidR="007674A0" w:rsidRDefault="00DD6D06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sz w:val="24"/>
        </w:rPr>
        <w:t>2022年</w:t>
      </w:r>
      <w:r>
        <w:rPr>
          <w:rFonts w:ascii="楷体" w:eastAsia="楷体" w:hAnsi="楷体" w:cs="楷体"/>
          <w:sz w:val="24"/>
        </w:rPr>
        <w:t>8</w:t>
      </w:r>
      <w:r>
        <w:rPr>
          <w:rFonts w:ascii="楷体" w:eastAsia="楷体" w:hAnsi="楷体" w:cs="楷体" w:hint="eastAsia"/>
          <w:sz w:val="24"/>
        </w:rPr>
        <w:t>月2</w:t>
      </w:r>
      <w:r>
        <w:rPr>
          <w:rFonts w:ascii="楷体" w:eastAsia="楷体" w:hAnsi="楷体" w:cs="楷体"/>
          <w:sz w:val="24"/>
        </w:rPr>
        <w:t>8</w:t>
      </w:r>
      <w:r>
        <w:rPr>
          <w:rFonts w:ascii="楷体" w:eastAsia="楷体" w:hAnsi="楷体" w:cs="楷体" w:hint="eastAsia"/>
          <w:sz w:val="24"/>
        </w:rPr>
        <w:t>日，全国精选60款现金管理产品当周</w:t>
      </w:r>
      <w:r>
        <w:rPr>
          <w:rStyle w:val="a8"/>
          <w:rFonts w:ascii="楷体" w:eastAsia="楷体" w:hAnsi="楷体" w:cs="楷体" w:hint="eastAsia"/>
          <w:sz w:val="24"/>
        </w:rPr>
        <w:footnoteReference w:id="2"/>
      </w:r>
      <w:proofErr w:type="gramStart"/>
      <w:r>
        <w:rPr>
          <w:rFonts w:ascii="楷体" w:eastAsia="楷体" w:hAnsi="楷体" w:cs="楷体" w:hint="eastAsia"/>
          <w:sz w:val="24"/>
        </w:rPr>
        <w:t>七日年化收益率</w:t>
      </w:r>
      <w:proofErr w:type="gramEnd"/>
      <w:r>
        <w:rPr>
          <w:rFonts w:ascii="楷体" w:eastAsia="楷体" w:hAnsi="楷体" w:cs="楷体" w:hint="eastAsia"/>
          <w:sz w:val="24"/>
        </w:rPr>
        <w:t>平均值为2.</w:t>
      </w:r>
      <w:r>
        <w:rPr>
          <w:rFonts w:ascii="楷体" w:eastAsia="楷体" w:hAnsi="楷体" w:cs="楷体"/>
          <w:sz w:val="24"/>
        </w:rPr>
        <w:t>48</w:t>
      </w:r>
      <w:r>
        <w:rPr>
          <w:rFonts w:ascii="楷体" w:eastAsia="楷体" w:hAnsi="楷体" w:cs="楷体" w:hint="eastAsia"/>
          <w:sz w:val="24"/>
        </w:rPr>
        <w:t>%，较</w:t>
      </w:r>
      <w:r>
        <w:rPr>
          <w:rFonts w:ascii="楷体" w:eastAsia="楷体" w:hAnsi="楷体" w:cs="楷体"/>
          <w:sz w:val="24"/>
        </w:rPr>
        <w:t>8</w:t>
      </w:r>
      <w:r>
        <w:rPr>
          <w:rFonts w:ascii="楷体" w:eastAsia="楷体" w:hAnsi="楷体" w:cs="楷体" w:hint="eastAsia"/>
          <w:sz w:val="24"/>
        </w:rPr>
        <w:t>月2</w:t>
      </w:r>
      <w:r>
        <w:rPr>
          <w:rFonts w:ascii="楷体" w:eastAsia="楷体" w:hAnsi="楷体" w:cs="楷体"/>
          <w:sz w:val="24"/>
        </w:rPr>
        <w:t>1</w:t>
      </w:r>
      <w:r>
        <w:rPr>
          <w:rFonts w:ascii="楷体" w:eastAsia="楷体" w:hAnsi="楷体" w:cs="楷体" w:hint="eastAsia"/>
          <w:sz w:val="24"/>
        </w:rPr>
        <w:t>日当周</w:t>
      </w:r>
      <w:proofErr w:type="gramStart"/>
      <w:r>
        <w:rPr>
          <w:rFonts w:ascii="楷体" w:eastAsia="楷体" w:hAnsi="楷体" w:cs="楷体" w:hint="eastAsia"/>
          <w:sz w:val="24"/>
        </w:rPr>
        <w:t>均值环</w:t>
      </w:r>
      <w:proofErr w:type="gramEnd"/>
      <w:r>
        <w:rPr>
          <w:rFonts w:ascii="楷体" w:eastAsia="楷体" w:hAnsi="楷体" w:cs="楷体" w:hint="eastAsia"/>
          <w:sz w:val="24"/>
        </w:rPr>
        <w:t>比下降</w:t>
      </w:r>
      <w:r>
        <w:rPr>
          <w:rFonts w:ascii="楷体" w:eastAsia="楷体" w:hAnsi="楷体" w:cs="楷体"/>
          <w:sz w:val="24"/>
        </w:rPr>
        <w:t>5</w:t>
      </w:r>
      <w:r>
        <w:rPr>
          <w:rFonts w:ascii="楷体" w:eastAsia="楷体" w:hAnsi="楷体" w:cs="楷体" w:hint="eastAsia"/>
          <w:sz w:val="24"/>
        </w:rPr>
        <w:t>BP，较基期周均值下滑7</w:t>
      </w:r>
      <w:r>
        <w:rPr>
          <w:rFonts w:ascii="楷体" w:eastAsia="楷体" w:hAnsi="楷体" w:cs="楷体"/>
          <w:sz w:val="24"/>
        </w:rPr>
        <w:t>9</w:t>
      </w:r>
      <w:r>
        <w:rPr>
          <w:rFonts w:ascii="楷体" w:eastAsia="楷体" w:hAnsi="楷体" w:cs="楷体" w:hint="eastAsia"/>
          <w:sz w:val="24"/>
        </w:rPr>
        <w:t>BP。</w:t>
      </w:r>
      <w:r w:rsidR="000F28C9">
        <w:rPr>
          <w:rFonts w:ascii="楷体" w:eastAsia="楷体" w:hAnsi="楷体" w:cs="楷体" w:hint="eastAsia"/>
          <w:sz w:val="24"/>
        </w:rPr>
        <w:t>具体</w:t>
      </w:r>
      <w:r>
        <w:rPr>
          <w:rFonts w:ascii="楷体" w:eastAsia="楷体" w:hAnsi="楷体" w:cs="楷体"/>
          <w:sz w:val="24"/>
        </w:rPr>
        <w:t>8</w:t>
      </w:r>
      <w:r>
        <w:rPr>
          <w:rFonts w:ascii="楷体" w:eastAsia="楷体" w:hAnsi="楷体" w:cs="楷体" w:hint="eastAsia"/>
          <w:sz w:val="24"/>
        </w:rPr>
        <w:t>月份，全国精选60款现金管理类产品七日</w:t>
      </w:r>
      <w:proofErr w:type="gramStart"/>
      <w:r>
        <w:rPr>
          <w:rFonts w:ascii="楷体" w:eastAsia="楷体" w:hAnsi="楷体" w:cs="楷体" w:hint="eastAsia"/>
          <w:sz w:val="24"/>
        </w:rPr>
        <w:t>年化收益周</w:t>
      </w:r>
      <w:proofErr w:type="gramEnd"/>
      <w:r>
        <w:rPr>
          <w:rFonts w:ascii="楷体" w:eastAsia="楷体" w:hAnsi="楷体" w:cs="楷体" w:hint="eastAsia"/>
          <w:sz w:val="24"/>
        </w:rPr>
        <w:t>均值仍旧延续下行趋势，由月初周均值2.</w:t>
      </w:r>
      <w:r>
        <w:rPr>
          <w:rFonts w:ascii="楷体" w:eastAsia="楷体" w:hAnsi="楷体" w:cs="楷体"/>
          <w:sz w:val="24"/>
        </w:rPr>
        <w:t>57</w:t>
      </w:r>
      <w:r>
        <w:rPr>
          <w:rFonts w:ascii="楷体" w:eastAsia="楷体" w:hAnsi="楷体" w:cs="楷体" w:hint="eastAsia"/>
          <w:sz w:val="24"/>
        </w:rPr>
        <w:t>%下降至月末周均值2.</w:t>
      </w:r>
      <w:r>
        <w:rPr>
          <w:rFonts w:ascii="楷体" w:eastAsia="楷体" w:hAnsi="楷体" w:cs="楷体"/>
          <w:sz w:val="24"/>
        </w:rPr>
        <w:t>48</w:t>
      </w:r>
      <w:r>
        <w:rPr>
          <w:rFonts w:ascii="楷体" w:eastAsia="楷体" w:hAnsi="楷体" w:cs="楷体" w:hint="eastAsia"/>
          <w:sz w:val="24"/>
        </w:rPr>
        <w:t>%</w:t>
      </w:r>
      <w:r>
        <w:rPr>
          <w:rFonts w:ascii="楷体" w:eastAsia="楷体" w:hAnsi="楷体" w:cs="楷体" w:hint="eastAsia"/>
          <w:color w:val="000000" w:themeColor="text1"/>
          <w:sz w:val="24"/>
        </w:rPr>
        <w:t>，走势呈现下行趋势。</w:t>
      </w:r>
    </w:p>
    <w:p w14:paraId="37D271D9" w14:textId="77777777" w:rsidR="007674A0" w:rsidRDefault="007674A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14:paraId="1F666F9B" w14:textId="77777777" w:rsidR="007674A0" w:rsidRDefault="007674A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14:paraId="37D46054" w14:textId="77777777" w:rsidR="007674A0" w:rsidRDefault="007674A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tbl>
      <w:tblPr>
        <w:tblW w:w="8619" w:type="dxa"/>
        <w:jc w:val="center"/>
        <w:tblLayout w:type="fixed"/>
        <w:tblLook w:val="04A0" w:firstRow="1" w:lastRow="0" w:firstColumn="1" w:lastColumn="0" w:noHBand="0" w:noVBand="1"/>
      </w:tblPr>
      <w:tblGrid>
        <w:gridCol w:w="4264"/>
        <w:gridCol w:w="4355"/>
      </w:tblGrid>
      <w:tr w:rsidR="007674A0" w14:paraId="56D04037" w14:textId="77777777">
        <w:trPr>
          <w:trHeight w:val="720"/>
          <w:jc w:val="center"/>
        </w:trPr>
        <w:tc>
          <w:tcPr>
            <w:tcW w:w="4264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noWrap/>
            <w:vAlign w:val="center"/>
          </w:tcPr>
          <w:p w14:paraId="69805A3E" w14:textId="77777777" w:rsidR="007674A0" w:rsidRDefault="007674A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noWrap/>
            <w:vAlign w:val="center"/>
          </w:tcPr>
          <w:p w14:paraId="7C12F3A8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全国精选60款现金管理类产品</w:t>
            </w:r>
          </w:p>
          <w:p w14:paraId="7E1A6CE3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七日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年化收益率周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均值（%）</w:t>
            </w:r>
          </w:p>
        </w:tc>
      </w:tr>
      <w:tr w:rsidR="000F28C9" w14:paraId="66319F9D" w14:textId="77777777" w:rsidTr="004F3D12">
        <w:trPr>
          <w:trHeight w:val="444"/>
          <w:jc w:val="center"/>
        </w:trPr>
        <w:tc>
          <w:tcPr>
            <w:tcW w:w="4264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noWrap/>
            <w:vAlign w:val="center"/>
          </w:tcPr>
          <w:p w14:paraId="0E3C72A6" w14:textId="41EC3AA2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2022年8月7日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当周</w:t>
            </w:r>
          </w:p>
        </w:tc>
        <w:tc>
          <w:tcPr>
            <w:tcW w:w="4355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noWrap/>
            <w:vAlign w:val="center"/>
          </w:tcPr>
          <w:p w14:paraId="4006F6AA" w14:textId="6B954C1D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Cs w:val="21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2.57</w:t>
            </w:r>
          </w:p>
        </w:tc>
      </w:tr>
      <w:tr w:rsidR="000F28C9" w14:paraId="1D750AED" w14:textId="77777777" w:rsidTr="004F3D12">
        <w:trPr>
          <w:trHeight w:val="402"/>
          <w:jc w:val="center"/>
        </w:trPr>
        <w:tc>
          <w:tcPr>
            <w:tcW w:w="4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18C52B4B" w14:textId="67E67379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2022年8月14日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当周</w:t>
            </w:r>
          </w:p>
        </w:tc>
        <w:tc>
          <w:tcPr>
            <w:tcW w:w="43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5F1AAD3E" w14:textId="154BDDD7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Cs w:val="21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2.54</w:t>
            </w:r>
          </w:p>
        </w:tc>
      </w:tr>
      <w:tr w:rsidR="000F28C9" w14:paraId="54028B1E" w14:textId="77777777" w:rsidTr="004F3D12">
        <w:trPr>
          <w:trHeight w:val="402"/>
          <w:jc w:val="center"/>
        </w:trPr>
        <w:tc>
          <w:tcPr>
            <w:tcW w:w="4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noWrap/>
            <w:vAlign w:val="center"/>
          </w:tcPr>
          <w:p w14:paraId="2E30F30D" w14:textId="45ADCBAB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2022年8月21日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当周</w:t>
            </w:r>
          </w:p>
        </w:tc>
        <w:tc>
          <w:tcPr>
            <w:tcW w:w="43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noWrap/>
            <w:vAlign w:val="center"/>
          </w:tcPr>
          <w:p w14:paraId="26E9021B" w14:textId="2738A9C2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Cs w:val="21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2.54</w:t>
            </w:r>
          </w:p>
        </w:tc>
      </w:tr>
      <w:tr w:rsidR="000F28C9" w14:paraId="5D183249" w14:textId="77777777" w:rsidTr="004F3D12">
        <w:trPr>
          <w:trHeight w:val="402"/>
          <w:jc w:val="center"/>
        </w:trPr>
        <w:tc>
          <w:tcPr>
            <w:tcW w:w="4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009FD86A" w14:textId="6544F425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2022年8月28日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当周</w:t>
            </w:r>
          </w:p>
        </w:tc>
        <w:tc>
          <w:tcPr>
            <w:tcW w:w="43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0F3E1E2C" w14:textId="2644DBB7" w:rsidR="000F28C9" w:rsidRDefault="000F28C9" w:rsidP="000F28C9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Cs w:val="21"/>
                <w:lang w:bidi="ar"/>
              </w:rPr>
            </w:pPr>
            <w:r w:rsidRPr="005A7563"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2.48</w:t>
            </w:r>
          </w:p>
        </w:tc>
      </w:tr>
    </w:tbl>
    <w:p w14:paraId="044DF79F" w14:textId="77777777" w:rsidR="007674A0" w:rsidRDefault="007674A0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</w:p>
    <w:p w14:paraId="3E214982" w14:textId="77777777" w:rsidR="007674A0" w:rsidRDefault="00000000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/>
          <w:szCs w:val="21"/>
        </w:rPr>
        <w:t>图</w:t>
      </w:r>
      <w:r>
        <w:rPr>
          <w:rFonts w:ascii="楷体" w:eastAsia="楷体" w:hAnsi="楷体" w:cs="楷体" w:hint="eastAsia"/>
          <w:szCs w:val="21"/>
        </w:rPr>
        <w:t>2</w:t>
      </w:r>
      <w:r>
        <w:rPr>
          <w:rFonts w:ascii="楷体" w:eastAsia="楷体" w:hAnsi="楷体" w:cs="楷体"/>
          <w:szCs w:val="21"/>
        </w:rPr>
        <w:t>：</w:t>
      </w:r>
      <w:r>
        <w:rPr>
          <w:rFonts w:ascii="楷体" w:eastAsia="楷体" w:hAnsi="楷体" w:cs="楷体" w:hint="eastAsia"/>
          <w:szCs w:val="21"/>
        </w:rPr>
        <w:t>全国精选60现金管理产品七日</w:t>
      </w:r>
      <w:proofErr w:type="gramStart"/>
      <w:r>
        <w:rPr>
          <w:rFonts w:ascii="楷体" w:eastAsia="楷体" w:hAnsi="楷体" w:cs="楷体" w:hint="eastAsia"/>
          <w:szCs w:val="21"/>
        </w:rPr>
        <w:t>年化收益率周</w:t>
      </w:r>
      <w:proofErr w:type="gramEnd"/>
      <w:r>
        <w:rPr>
          <w:rFonts w:ascii="楷体" w:eastAsia="楷体" w:hAnsi="楷体" w:cs="楷体" w:hint="eastAsia"/>
          <w:szCs w:val="21"/>
        </w:rPr>
        <w:t>均值走势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674A0" w14:paraId="1109B72A" w14:textId="77777777">
        <w:tc>
          <w:tcPr>
            <w:tcW w:w="8522" w:type="dxa"/>
            <w:vAlign w:val="center"/>
          </w:tcPr>
          <w:p w14:paraId="1E0DC34A" w14:textId="5388DC9B" w:rsidR="007674A0" w:rsidRDefault="000F28C9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84053E" wp14:editId="17C9FAAF">
                  <wp:extent cx="5274310" cy="3390900"/>
                  <wp:effectExtent l="0" t="0" r="2540" b="0"/>
                  <wp:docPr id="4" name="图表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CC49276" w14:textId="77777777" w:rsidR="007674A0" w:rsidRDefault="00000000">
      <w:pPr>
        <w:widowControl/>
        <w:numPr>
          <w:ilvl w:val="255"/>
          <w:numId w:val="0"/>
        </w:numPr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sz w:val="18"/>
          <w:szCs w:val="18"/>
        </w:rPr>
        <w:t>数据来源：</w:t>
      </w:r>
      <w:proofErr w:type="gramStart"/>
      <w:r>
        <w:rPr>
          <w:rFonts w:ascii="楷体" w:eastAsia="楷体" w:hAnsi="楷体" w:cs="楷体" w:hint="eastAsia"/>
          <w:sz w:val="18"/>
          <w:szCs w:val="18"/>
        </w:rPr>
        <w:t>普益标准</w:t>
      </w:r>
      <w:proofErr w:type="gramEnd"/>
    </w:p>
    <w:p w14:paraId="5C33884A" w14:textId="77777777" w:rsidR="007674A0" w:rsidRDefault="007674A0">
      <w:pPr>
        <w:spacing w:line="360" w:lineRule="auto"/>
        <w:rPr>
          <w:rFonts w:ascii="楷体" w:eastAsia="楷体" w:hAnsi="楷体" w:cs="楷体"/>
          <w:color w:val="000000" w:themeColor="text1"/>
          <w:sz w:val="24"/>
        </w:rPr>
      </w:pPr>
    </w:p>
    <w:p w14:paraId="40006D67" w14:textId="77777777" w:rsidR="007674A0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 w:cs="华文楷体"/>
          <w:b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六个月投资周期产品综合价格指数</w:t>
      </w:r>
    </w:p>
    <w:p w14:paraId="6B71DF2F" w14:textId="226D9DEF" w:rsidR="007674A0" w:rsidRDefault="00000000">
      <w:pPr>
        <w:spacing w:line="360" w:lineRule="auto"/>
        <w:ind w:firstLineChars="200" w:firstLine="482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4"/>
        </w:rPr>
        <w:t>精选60中低风险六个月投资周期产品综合价格指数</w:t>
      </w:r>
      <w:r w:rsidR="000F28C9">
        <w:rPr>
          <w:rFonts w:ascii="楷体" w:eastAsia="楷体" w:hAnsi="楷体" w:cs="楷体" w:hint="eastAsia"/>
          <w:b/>
          <w:bCs/>
          <w:color w:val="000000" w:themeColor="text1"/>
          <w:sz w:val="24"/>
        </w:rPr>
        <w:t>持续上行</w:t>
      </w:r>
    </w:p>
    <w:p w14:paraId="5210548A" w14:textId="77777777" w:rsidR="000F28C9" w:rsidRDefault="000F28C9" w:rsidP="000F28C9">
      <w:pPr>
        <w:spacing w:line="360" w:lineRule="auto"/>
        <w:ind w:firstLineChars="200" w:firstLine="48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color w:val="000000" w:themeColor="text1"/>
          <w:sz w:val="24"/>
        </w:rPr>
        <w:t>8</w:t>
      </w:r>
      <w:r>
        <w:rPr>
          <w:rFonts w:ascii="楷体" w:eastAsia="楷体" w:hAnsi="楷体" w:cs="楷体" w:hint="eastAsia"/>
          <w:color w:val="000000" w:themeColor="text1"/>
          <w:sz w:val="24"/>
        </w:rPr>
        <w:t>月，全国精选60款非现金管理类中低风险六个月投资周期产品综合价格指数</w:t>
      </w:r>
      <w:r>
        <w:rPr>
          <w:rFonts w:ascii="楷体" w:eastAsia="楷体" w:hAnsi="楷体" w:cs="楷体"/>
          <w:color w:val="000000" w:themeColor="text1"/>
          <w:sz w:val="24"/>
        </w:rPr>
        <w:t>为</w:t>
      </w:r>
      <w:r>
        <w:rPr>
          <w:rFonts w:ascii="楷体" w:eastAsia="楷体" w:hAnsi="楷体" w:cs="楷体" w:hint="eastAsia"/>
          <w:color w:val="000000" w:themeColor="text1"/>
          <w:sz w:val="24"/>
        </w:rPr>
        <w:t>106.</w:t>
      </w:r>
      <w:r>
        <w:rPr>
          <w:rFonts w:ascii="楷体" w:eastAsia="楷体" w:hAnsi="楷体" w:cs="楷体"/>
          <w:color w:val="000000" w:themeColor="text1"/>
          <w:sz w:val="24"/>
        </w:rPr>
        <w:t>77</w:t>
      </w:r>
      <w:r>
        <w:rPr>
          <w:rFonts w:ascii="楷体" w:eastAsia="楷体" w:hAnsi="楷体" w:cs="楷体" w:hint="eastAsia"/>
          <w:color w:val="000000" w:themeColor="text1"/>
          <w:sz w:val="24"/>
        </w:rPr>
        <w:t>点，环比上升0.3</w:t>
      </w:r>
      <w:r>
        <w:rPr>
          <w:rFonts w:ascii="楷体" w:eastAsia="楷体" w:hAnsi="楷体" w:cs="楷体"/>
          <w:color w:val="000000" w:themeColor="text1"/>
          <w:sz w:val="24"/>
        </w:rPr>
        <w:t>2</w:t>
      </w:r>
      <w:r>
        <w:rPr>
          <w:rFonts w:ascii="楷体" w:eastAsia="楷体" w:hAnsi="楷体" w:cs="楷体" w:hint="eastAsia"/>
          <w:color w:val="000000" w:themeColor="text1"/>
          <w:sz w:val="24"/>
        </w:rPr>
        <w:t>点，环比涨幅0.3</w:t>
      </w:r>
      <w:r>
        <w:rPr>
          <w:rFonts w:ascii="楷体" w:eastAsia="楷体" w:hAnsi="楷体" w:cs="楷体"/>
          <w:color w:val="000000" w:themeColor="text1"/>
          <w:sz w:val="24"/>
        </w:rPr>
        <w:t>0</w:t>
      </w:r>
      <w:r>
        <w:rPr>
          <w:rFonts w:ascii="楷体" w:eastAsia="楷体" w:hAnsi="楷体" w:cs="楷体" w:hint="eastAsia"/>
          <w:color w:val="000000" w:themeColor="text1"/>
          <w:sz w:val="24"/>
        </w:rPr>
        <w:t>%，</w:t>
      </w:r>
      <w:proofErr w:type="gramStart"/>
      <w:r>
        <w:rPr>
          <w:rFonts w:ascii="楷体" w:eastAsia="楷体" w:hAnsi="楷体" w:cs="楷体" w:hint="eastAsia"/>
          <w:color w:val="000000" w:themeColor="text1"/>
          <w:sz w:val="24"/>
        </w:rPr>
        <w:t>指数较基期月</w:t>
      </w:r>
      <w:proofErr w:type="gramEnd"/>
      <w:r>
        <w:rPr>
          <w:rStyle w:val="a8"/>
          <w:rFonts w:ascii="楷体" w:eastAsia="楷体" w:hAnsi="楷体" w:cs="楷体" w:hint="eastAsia"/>
          <w:color w:val="000000" w:themeColor="text1"/>
          <w:sz w:val="24"/>
        </w:rPr>
        <w:footnoteReference w:id="3"/>
      </w:r>
      <w:r>
        <w:rPr>
          <w:rFonts w:ascii="楷体" w:eastAsia="楷体" w:hAnsi="楷体" w:cs="楷体" w:hint="eastAsia"/>
          <w:color w:val="000000" w:themeColor="text1"/>
          <w:sz w:val="24"/>
        </w:rPr>
        <w:t>上升6.</w:t>
      </w:r>
      <w:r>
        <w:rPr>
          <w:rFonts w:ascii="楷体" w:eastAsia="楷体" w:hAnsi="楷体" w:cs="楷体"/>
          <w:color w:val="000000" w:themeColor="text1"/>
          <w:sz w:val="24"/>
        </w:rPr>
        <w:t>77</w:t>
      </w:r>
      <w:r>
        <w:rPr>
          <w:rFonts w:ascii="楷体" w:eastAsia="楷体" w:hAnsi="楷体" w:cs="楷体" w:hint="eastAsia"/>
          <w:color w:val="000000" w:themeColor="text1"/>
          <w:sz w:val="24"/>
        </w:rPr>
        <w:t>点，增长6.</w:t>
      </w:r>
      <w:r>
        <w:rPr>
          <w:rFonts w:ascii="楷体" w:eastAsia="楷体" w:hAnsi="楷体" w:cs="楷体"/>
          <w:color w:val="000000" w:themeColor="text1"/>
          <w:sz w:val="24"/>
        </w:rPr>
        <w:t>77</w:t>
      </w:r>
      <w:r>
        <w:rPr>
          <w:rFonts w:ascii="楷体" w:eastAsia="楷体" w:hAnsi="楷体" w:cs="楷体" w:hint="eastAsia"/>
          <w:color w:val="000000" w:themeColor="text1"/>
          <w:sz w:val="24"/>
        </w:rPr>
        <w:t>%，持续上行。</w:t>
      </w:r>
    </w:p>
    <w:p w14:paraId="3640F741" w14:textId="77777777" w:rsidR="007674A0" w:rsidRPr="000F28C9" w:rsidRDefault="007674A0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</w:p>
    <w:p w14:paraId="755A3E72" w14:textId="77777777" w:rsidR="007674A0" w:rsidRDefault="007674A0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03"/>
        <w:gridCol w:w="1692"/>
        <w:gridCol w:w="1692"/>
        <w:gridCol w:w="1692"/>
      </w:tblGrid>
      <w:tr w:rsidR="007674A0" w14:paraId="5609C252" w14:textId="77777777">
        <w:trPr>
          <w:trHeight w:val="603"/>
        </w:trPr>
        <w:tc>
          <w:tcPr>
            <w:tcW w:w="3303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221A8058" w14:textId="77777777" w:rsidR="007674A0" w:rsidRDefault="007674A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2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6DBA7D38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近一个月涨幅</w:t>
            </w:r>
          </w:p>
        </w:tc>
        <w:tc>
          <w:tcPr>
            <w:tcW w:w="1692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2662B19A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近三个月涨幅</w:t>
            </w:r>
          </w:p>
        </w:tc>
        <w:tc>
          <w:tcPr>
            <w:tcW w:w="1692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334415EC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近六个月涨幅</w:t>
            </w:r>
          </w:p>
        </w:tc>
      </w:tr>
      <w:tr w:rsidR="00C4538E" w14:paraId="700CB0BA" w14:textId="77777777">
        <w:trPr>
          <w:trHeight w:val="822"/>
        </w:trPr>
        <w:tc>
          <w:tcPr>
            <w:tcW w:w="3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2F7E57C" w14:textId="77777777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 w14:paraId="2D7045C4" w14:textId="0B2BA596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47314240" w14:textId="41801A94" w:rsidR="00C4538E" w:rsidRDefault="00C4538E" w:rsidP="00C4538E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0.3</w:t>
            </w: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47C7671E" w14:textId="13266488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 w:rsidRPr="00C03B42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0.97%</w:t>
            </w:r>
          </w:p>
        </w:tc>
        <w:tc>
          <w:tcPr>
            <w:tcW w:w="1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47CBC9E2" w14:textId="5E2EA03C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 w:rsidRPr="00C03B42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1.85%</w:t>
            </w:r>
          </w:p>
        </w:tc>
      </w:tr>
    </w:tbl>
    <w:p w14:paraId="31E4B04E" w14:textId="77777777" w:rsidR="007674A0" w:rsidRDefault="007674A0">
      <w:pPr>
        <w:spacing w:line="360" w:lineRule="auto"/>
        <w:rPr>
          <w:rFonts w:ascii="楷体" w:eastAsia="楷体" w:hAnsi="楷体" w:cs="楷体"/>
          <w:color w:val="000000" w:themeColor="text1"/>
          <w:sz w:val="24"/>
        </w:rPr>
      </w:pPr>
    </w:p>
    <w:p w14:paraId="2D4C66FF" w14:textId="77777777" w:rsidR="007674A0" w:rsidRDefault="00000000">
      <w:pPr>
        <w:keepNext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/>
          <w:szCs w:val="21"/>
        </w:rPr>
        <w:t>图</w:t>
      </w:r>
      <w:r>
        <w:rPr>
          <w:rFonts w:ascii="楷体" w:eastAsia="楷体" w:hAnsi="楷体" w:cs="楷体" w:hint="eastAsia"/>
          <w:szCs w:val="21"/>
        </w:rPr>
        <w:t>3</w:t>
      </w:r>
      <w:r>
        <w:rPr>
          <w:rFonts w:ascii="楷体" w:eastAsia="楷体" w:hAnsi="楷体" w:cs="楷体"/>
          <w:szCs w:val="21"/>
        </w:rPr>
        <w:t>：</w:t>
      </w:r>
      <w:r>
        <w:rPr>
          <w:rFonts w:ascii="楷体" w:eastAsia="楷体" w:hAnsi="楷体" w:cs="楷体" w:hint="eastAsia"/>
          <w:szCs w:val="21"/>
        </w:rPr>
        <w:t>全国精选60中低风险六个月投资周期产品综合价格指数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674A0" w14:paraId="1F3CCF33" w14:textId="77777777">
        <w:tc>
          <w:tcPr>
            <w:tcW w:w="8522" w:type="dxa"/>
            <w:vAlign w:val="center"/>
          </w:tcPr>
          <w:p w14:paraId="67180320" w14:textId="60124215" w:rsidR="007674A0" w:rsidRDefault="000F28C9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77E1232" wp14:editId="7A8CD796">
                  <wp:extent cx="5274310" cy="2865120"/>
                  <wp:effectExtent l="0" t="0" r="2540" b="0"/>
                  <wp:docPr id="5" name="图表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7AE59291" w14:textId="77777777" w:rsidR="007674A0" w:rsidRDefault="00000000">
      <w:pPr>
        <w:rPr>
          <w:rFonts w:ascii="楷体" w:eastAsia="楷体" w:hAnsi="楷体" w:cs="楷体"/>
          <w:sz w:val="18"/>
          <w:szCs w:val="18"/>
        </w:rPr>
      </w:pPr>
      <w:r>
        <w:rPr>
          <w:rFonts w:ascii="楷体" w:eastAsia="楷体" w:hAnsi="楷体" w:cs="楷体" w:hint="eastAsia"/>
          <w:sz w:val="18"/>
          <w:szCs w:val="18"/>
        </w:rPr>
        <w:t>数据来源：</w:t>
      </w:r>
      <w:proofErr w:type="gramStart"/>
      <w:r>
        <w:rPr>
          <w:rFonts w:ascii="楷体" w:eastAsia="楷体" w:hAnsi="楷体" w:cs="楷体" w:hint="eastAsia"/>
          <w:sz w:val="18"/>
          <w:szCs w:val="18"/>
        </w:rPr>
        <w:t>普益标准</w:t>
      </w:r>
      <w:proofErr w:type="gramEnd"/>
    </w:p>
    <w:p w14:paraId="5434C9F9" w14:textId="77777777" w:rsidR="007674A0" w:rsidRDefault="007674A0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</w:p>
    <w:p w14:paraId="083534B2" w14:textId="77777777" w:rsidR="007674A0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 w:cs="华文楷体"/>
          <w:b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一年投资周期产品综合价格指数</w:t>
      </w:r>
    </w:p>
    <w:p w14:paraId="7C333EF7" w14:textId="77425C38" w:rsidR="007674A0" w:rsidRDefault="00000000">
      <w:pPr>
        <w:spacing w:line="360" w:lineRule="auto"/>
        <w:ind w:firstLineChars="200" w:firstLine="482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24"/>
        </w:rPr>
        <w:t>精选60中低风险1年投资周期产品综合价格指数</w:t>
      </w:r>
      <w:r w:rsidR="007016F9">
        <w:rPr>
          <w:rFonts w:ascii="楷体" w:eastAsia="楷体" w:hAnsi="楷体" w:cs="楷体" w:hint="eastAsia"/>
          <w:b/>
          <w:bCs/>
          <w:color w:val="000000" w:themeColor="text1"/>
          <w:sz w:val="24"/>
        </w:rPr>
        <w:t>延续上涨态势</w:t>
      </w:r>
    </w:p>
    <w:p w14:paraId="225BE5BE" w14:textId="77777777" w:rsidR="007016F9" w:rsidRDefault="007016F9" w:rsidP="007016F9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/>
          <w:color w:val="000000" w:themeColor="text1"/>
          <w:sz w:val="24"/>
        </w:rPr>
        <w:t>8</w:t>
      </w:r>
      <w:r>
        <w:rPr>
          <w:rFonts w:ascii="楷体" w:eastAsia="楷体" w:hAnsi="楷体" w:cs="楷体" w:hint="eastAsia"/>
          <w:color w:val="000000" w:themeColor="text1"/>
          <w:sz w:val="24"/>
        </w:rPr>
        <w:t>月，全国精选60款非现金管理类中低风险1年投资周期产品综合价格指数</w:t>
      </w:r>
      <w:r>
        <w:rPr>
          <w:rFonts w:ascii="楷体" w:eastAsia="楷体" w:hAnsi="楷体" w:cs="楷体"/>
          <w:color w:val="000000" w:themeColor="text1"/>
          <w:sz w:val="24"/>
        </w:rPr>
        <w:t>为</w:t>
      </w:r>
      <w:r>
        <w:rPr>
          <w:rFonts w:ascii="楷体" w:eastAsia="楷体" w:hAnsi="楷体" w:cs="楷体" w:hint="eastAsia"/>
          <w:color w:val="000000" w:themeColor="text1"/>
          <w:sz w:val="24"/>
        </w:rPr>
        <w:t>106.</w:t>
      </w:r>
      <w:r>
        <w:rPr>
          <w:rFonts w:ascii="楷体" w:eastAsia="楷体" w:hAnsi="楷体" w:cs="楷体"/>
          <w:color w:val="000000" w:themeColor="text1"/>
          <w:sz w:val="24"/>
        </w:rPr>
        <w:t>94</w:t>
      </w:r>
      <w:r>
        <w:rPr>
          <w:rFonts w:ascii="楷体" w:eastAsia="楷体" w:hAnsi="楷体" w:cs="楷体" w:hint="eastAsia"/>
          <w:color w:val="000000" w:themeColor="text1"/>
          <w:sz w:val="24"/>
        </w:rPr>
        <w:t>点，环比上升0.</w:t>
      </w:r>
      <w:r>
        <w:rPr>
          <w:rFonts w:ascii="楷体" w:eastAsia="楷体" w:hAnsi="楷体" w:cs="楷体"/>
          <w:color w:val="000000" w:themeColor="text1"/>
          <w:sz w:val="24"/>
        </w:rPr>
        <w:t>27</w:t>
      </w:r>
      <w:r>
        <w:rPr>
          <w:rFonts w:ascii="楷体" w:eastAsia="楷体" w:hAnsi="楷体" w:cs="楷体" w:hint="eastAsia"/>
          <w:color w:val="000000" w:themeColor="text1"/>
          <w:sz w:val="24"/>
        </w:rPr>
        <w:t>点，环比增长0.</w:t>
      </w:r>
      <w:r>
        <w:rPr>
          <w:rFonts w:ascii="楷体" w:eastAsia="楷体" w:hAnsi="楷体" w:cs="楷体"/>
          <w:color w:val="000000" w:themeColor="text1"/>
          <w:sz w:val="24"/>
        </w:rPr>
        <w:t>26</w:t>
      </w:r>
      <w:r>
        <w:rPr>
          <w:rFonts w:ascii="楷体" w:eastAsia="楷体" w:hAnsi="楷体" w:cs="楷体" w:hint="eastAsia"/>
          <w:color w:val="000000" w:themeColor="text1"/>
          <w:sz w:val="24"/>
        </w:rPr>
        <w:t>%，</w:t>
      </w:r>
      <w:proofErr w:type="gramStart"/>
      <w:r>
        <w:rPr>
          <w:rFonts w:ascii="楷体" w:eastAsia="楷体" w:hAnsi="楷体" w:cs="楷体" w:hint="eastAsia"/>
          <w:color w:val="000000" w:themeColor="text1"/>
          <w:sz w:val="24"/>
        </w:rPr>
        <w:t>指数较基期月</w:t>
      </w:r>
      <w:proofErr w:type="gramEnd"/>
      <w:r>
        <w:rPr>
          <w:rFonts w:ascii="楷体" w:eastAsia="楷体" w:hAnsi="楷体" w:cs="楷体" w:hint="eastAsia"/>
          <w:color w:val="000000" w:themeColor="text1"/>
          <w:sz w:val="24"/>
        </w:rPr>
        <w:t>上升6.</w:t>
      </w:r>
      <w:r>
        <w:rPr>
          <w:rFonts w:ascii="楷体" w:eastAsia="楷体" w:hAnsi="楷体" w:cs="楷体"/>
          <w:color w:val="000000" w:themeColor="text1"/>
          <w:sz w:val="24"/>
        </w:rPr>
        <w:t>94</w:t>
      </w:r>
      <w:r>
        <w:rPr>
          <w:rFonts w:ascii="楷体" w:eastAsia="楷体" w:hAnsi="楷体" w:cs="楷体" w:hint="eastAsia"/>
          <w:color w:val="000000" w:themeColor="text1"/>
          <w:sz w:val="24"/>
        </w:rPr>
        <w:t>点，增长6.</w:t>
      </w:r>
      <w:r>
        <w:rPr>
          <w:rFonts w:ascii="楷体" w:eastAsia="楷体" w:hAnsi="楷体" w:cs="楷体"/>
          <w:color w:val="000000" w:themeColor="text1"/>
          <w:sz w:val="24"/>
        </w:rPr>
        <w:t>94</w:t>
      </w:r>
      <w:r>
        <w:rPr>
          <w:rFonts w:ascii="楷体" w:eastAsia="楷体" w:hAnsi="楷体" w:cs="楷体" w:hint="eastAsia"/>
          <w:color w:val="000000" w:themeColor="text1"/>
          <w:sz w:val="24"/>
        </w:rPr>
        <w:t>%，指数延续上涨态势。</w:t>
      </w:r>
    </w:p>
    <w:p w14:paraId="054516C3" w14:textId="77777777" w:rsidR="007674A0" w:rsidRPr="007016F9" w:rsidRDefault="007674A0">
      <w:pPr>
        <w:spacing w:line="360" w:lineRule="auto"/>
        <w:ind w:firstLineChars="200" w:firstLine="480"/>
        <w:rPr>
          <w:rFonts w:ascii="楷体" w:eastAsia="楷体" w:hAnsi="楷体" w:cs="楷体"/>
          <w:color w:val="000000" w:themeColor="text1"/>
          <w:sz w:val="24"/>
        </w:rPr>
      </w:pPr>
    </w:p>
    <w:tbl>
      <w:tblPr>
        <w:tblW w:w="8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80"/>
        <w:gridCol w:w="1679"/>
        <w:gridCol w:w="1679"/>
        <w:gridCol w:w="1679"/>
      </w:tblGrid>
      <w:tr w:rsidR="007674A0" w14:paraId="3F5887A6" w14:textId="77777777">
        <w:trPr>
          <w:trHeight w:val="597"/>
        </w:trPr>
        <w:tc>
          <w:tcPr>
            <w:tcW w:w="3280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4686F22F" w14:textId="77777777" w:rsidR="007674A0" w:rsidRDefault="007674A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79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4205C985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近一个月涨幅</w:t>
            </w:r>
          </w:p>
        </w:tc>
        <w:tc>
          <w:tcPr>
            <w:tcW w:w="1679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7310C1FD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近三个月涨幅</w:t>
            </w:r>
          </w:p>
        </w:tc>
        <w:tc>
          <w:tcPr>
            <w:tcW w:w="1679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64EEFC79" w14:textId="77777777" w:rsidR="007674A0" w:rsidRDefault="00000000">
            <w:pPr>
              <w:widowControl/>
              <w:jc w:val="center"/>
              <w:textAlignment w:val="bottom"/>
              <w:rPr>
                <w:rFonts w:ascii="楷体" w:eastAsia="楷体" w:hAnsi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</w:rPr>
              <w:t>近六个月涨幅</w:t>
            </w:r>
          </w:p>
        </w:tc>
      </w:tr>
      <w:tr w:rsidR="00C4538E" w14:paraId="0DE6F70E" w14:textId="77777777">
        <w:trPr>
          <w:trHeight w:val="815"/>
        </w:trPr>
        <w:tc>
          <w:tcPr>
            <w:tcW w:w="3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258AF0A" w14:textId="4B3BBB16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5F3FF443" w14:textId="46F94B01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338AA22E" w14:textId="171988E0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1.03%</w:t>
            </w:r>
          </w:p>
        </w:tc>
        <w:tc>
          <w:tcPr>
            <w:tcW w:w="16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87C9181" w14:textId="51AF8904" w:rsidR="00C4538E" w:rsidRDefault="00C4538E" w:rsidP="00C4538E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1.84%</w:t>
            </w:r>
          </w:p>
        </w:tc>
      </w:tr>
    </w:tbl>
    <w:p w14:paraId="70A08ADB" w14:textId="77777777" w:rsidR="007674A0" w:rsidRDefault="007674A0">
      <w:pPr>
        <w:rPr>
          <w:rFonts w:ascii="楷体" w:eastAsia="楷体" w:hAnsi="楷体" w:cs="楷体"/>
          <w:szCs w:val="21"/>
        </w:rPr>
      </w:pPr>
    </w:p>
    <w:p w14:paraId="59FBEB4B" w14:textId="77777777" w:rsidR="007674A0" w:rsidRDefault="00000000">
      <w:pPr>
        <w:keepNext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/>
          <w:szCs w:val="21"/>
        </w:rPr>
        <w:lastRenderedPageBreak/>
        <w:t>图</w:t>
      </w:r>
      <w:r>
        <w:rPr>
          <w:rFonts w:ascii="楷体" w:eastAsia="楷体" w:hAnsi="楷体" w:cs="楷体" w:hint="eastAsia"/>
          <w:szCs w:val="21"/>
        </w:rPr>
        <w:t>4</w:t>
      </w:r>
      <w:r>
        <w:rPr>
          <w:rFonts w:ascii="楷体" w:eastAsia="楷体" w:hAnsi="楷体" w:cs="楷体"/>
          <w:szCs w:val="21"/>
        </w:rPr>
        <w:t>：</w:t>
      </w:r>
      <w:r>
        <w:rPr>
          <w:rFonts w:ascii="楷体" w:eastAsia="楷体" w:hAnsi="楷体" w:cs="楷体" w:hint="eastAsia"/>
          <w:szCs w:val="21"/>
        </w:rPr>
        <w:t>全国</w:t>
      </w:r>
      <w:r>
        <w:rPr>
          <w:rFonts w:ascii="楷体" w:eastAsia="楷体" w:hAnsi="楷体" w:cs="楷体"/>
          <w:szCs w:val="21"/>
        </w:rPr>
        <w:t>精选</w:t>
      </w:r>
      <w:r>
        <w:rPr>
          <w:rFonts w:ascii="楷体" w:eastAsia="楷体" w:hAnsi="楷体" w:cs="楷体" w:hint="eastAsia"/>
          <w:szCs w:val="21"/>
        </w:rPr>
        <w:t>60</w:t>
      </w:r>
      <w:r>
        <w:rPr>
          <w:rFonts w:ascii="楷体" w:eastAsia="楷体" w:hAnsi="楷体" w:cs="楷体"/>
          <w:szCs w:val="21"/>
        </w:rPr>
        <w:t>中低风险1年</w:t>
      </w:r>
      <w:r>
        <w:rPr>
          <w:rFonts w:ascii="楷体" w:eastAsia="楷体" w:hAnsi="楷体" w:cs="楷体" w:hint="eastAsia"/>
          <w:szCs w:val="21"/>
        </w:rPr>
        <w:t>投资周期</w:t>
      </w:r>
      <w:r>
        <w:rPr>
          <w:rFonts w:ascii="楷体" w:eastAsia="楷体" w:hAnsi="楷体" w:cs="楷体"/>
          <w:szCs w:val="21"/>
        </w:rPr>
        <w:t>产品</w:t>
      </w:r>
      <w:r>
        <w:rPr>
          <w:rFonts w:ascii="楷体" w:eastAsia="楷体" w:hAnsi="楷体" w:cs="楷体" w:hint="eastAsia"/>
          <w:szCs w:val="21"/>
        </w:rPr>
        <w:t>综合价格指数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674A0" w14:paraId="000BEA14" w14:textId="77777777">
        <w:tc>
          <w:tcPr>
            <w:tcW w:w="8522" w:type="dxa"/>
          </w:tcPr>
          <w:p w14:paraId="307E8047" w14:textId="0810D8CD" w:rsidR="007674A0" w:rsidRDefault="007016F9">
            <w:pPr>
              <w:spacing w:line="360" w:lineRule="auto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959D7E3" wp14:editId="56BBE7C5">
                  <wp:extent cx="5101590" cy="3177540"/>
                  <wp:effectExtent l="0" t="0" r="3810" b="3810"/>
                  <wp:docPr id="7" name="图表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641FC347" w14:textId="77777777" w:rsidR="007674A0" w:rsidRDefault="00000000">
      <w:pPr>
        <w:rPr>
          <w:rFonts w:ascii="楷体" w:eastAsia="楷体" w:hAnsi="楷体" w:cs="楷体"/>
          <w:color w:val="000000" w:themeColor="text1"/>
          <w:sz w:val="24"/>
        </w:rPr>
      </w:pPr>
      <w:r>
        <w:rPr>
          <w:rFonts w:ascii="楷体" w:eastAsia="楷体" w:hAnsi="楷体" w:cs="楷体" w:hint="eastAsia"/>
          <w:color w:val="000000" w:themeColor="text1"/>
          <w:sz w:val="18"/>
          <w:szCs w:val="18"/>
        </w:rPr>
        <w:t>数据来源：</w:t>
      </w:r>
      <w:proofErr w:type="gramStart"/>
      <w:r>
        <w:rPr>
          <w:rFonts w:ascii="楷体" w:eastAsia="楷体" w:hAnsi="楷体" w:cs="楷体" w:hint="eastAsia"/>
          <w:color w:val="000000" w:themeColor="text1"/>
          <w:sz w:val="18"/>
          <w:szCs w:val="18"/>
        </w:rPr>
        <w:t>普益标准</w:t>
      </w:r>
      <w:proofErr w:type="gramEnd"/>
    </w:p>
    <w:p w14:paraId="3193559C" w14:textId="77777777" w:rsidR="007674A0" w:rsidRDefault="007674A0">
      <w:pPr>
        <w:spacing w:line="360" w:lineRule="auto"/>
        <w:rPr>
          <w:rFonts w:ascii="楷体" w:eastAsia="楷体" w:hAnsi="楷体" w:cs="楷体"/>
          <w:sz w:val="24"/>
        </w:rPr>
      </w:pPr>
    </w:p>
    <w:sectPr w:rsidR="0076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FF90" w14:textId="77777777" w:rsidR="008346F9" w:rsidRDefault="008346F9">
      <w:r>
        <w:separator/>
      </w:r>
    </w:p>
  </w:endnote>
  <w:endnote w:type="continuationSeparator" w:id="0">
    <w:p w14:paraId="40C14AF1" w14:textId="77777777" w:rsidR="008346F9" w:rsidRDefault="0083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12BB" w14:textId="77777777" w:rsidR="008346F9" w:rsidRDefault="008346F9">
      <w:r>
        <w:separator/>
      </w:r>
    </w:p>
  </w:footnote>
  <w:footnote w:type="continuationSeparator" w:id="0">
    <w:p w14:paraId="2F5EF245" w14:textId="77777777" w:rsidR="008346F9" w:rsidRDefault="008346F9">
      <w:r>
        <w:continuationSeparator/>
      </w:r>
    </w:p>
  </w:footnote>
  <w:footnote w:id="1">
    <w:p w14:paraId="4D080DC8" w14:textId="77777777" w:rsidR="007674A0" w:rsidRDefault="00000000">
      <w:pPr>
        <w:pStyle w:val="a5"/>
      </w:pPr>
      <w:r>
        <w:rPr>
          <w:rStyle w:val="a8"/>
        </w:rPr>
        <w:footnoteRef/>
      </w:r>
      <w:r>
        <w:rPr>
          <w:rFonts w:ascii="楷体" w:eastAsia="楷体" w:hAnsi="楷体" w:cs="楷体" w:hint="eastAsia"/>
        </w:rPr>
        <w:t>基期周为2021年4月4日当周，下同</w:t>
      </w:r>
    </w:p>
  </w:footnote>
  <w:footnote w:id="2">
    <w:p w14:paraId="49058666" w14:textId="0E95593D" w:rsidR="007674A0" w:rsidRDefault="00000000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ascii="楷体" w:eastAsia="楷体" w:hAnsi="楷体" w:cs="楷体" w:hint="eastAsia"/>
        </w:rPr>
        <w:t>2022</w:t>
      </w:r>
      <w:r>
        <w:rPr>
          <w:rFonts w:ascii="楷体" w:eastAsia="楷体" w:hAnsi="楷体" w:cs="楷体" w:hint="eastAsia"/>
        </w:rPr>
        <w:t>年</w:t>
      </w:r>
      <w:r w:rsidR="00DD6D06">
        <w:rPr>
          <w:rFonts w:ascii="楷体" w:eastAsia="楷体" w:hAnsi="楷体" w:cs="楷体"/>
        </w:rPr>
        <w:t>8</w:t>
      </w:r>
      <w:r>
        <w:rPr>
          <w:rFonts w:ascii="楷体" w:eastAsia="楷体" w:hAnsi="楷体" w:cs="楷体" w:hint="eastAsia"/>
        </w:rPr>
        <w:t>月</w:t>
      </w:r>
      <w:r w:rsidR="00DD6D06">
        <w:rPr>
          <w:rFonts w:ascii="楷体" w:eastAsia="楷体" w:hAnsi="楷体" w:cs="楷体"/>
        </w:rPr>
        <w:t>28</w:t>
      </w:r>
      <w:r>
        <w:rPr>
          <w:rFonts w:ascii="楷体" w:eastAsia="楷体" w:hAnsi="楷体" w:cs="楷体" w:hint="eastAsia"/>
        </w:rPr>
        <w:t>日当周，即所在周的周一至周日的一周平均值</w:t>
      </w:r>
    </w:p>
  </w:footnote>
  <w:footnote w:id="3">
    <w:p w14:paraId="57881509" w14:textId="77777777" w:rsidR="000F28C9" w:rsidRDefault="000F28C9" w:rsidP="000F28C9">
      <w:pPr>
        <w:pStyle w:val="a5"/>
      </w:pPr>
      <w:r>
        <w:rPr>
          <w:rStyle w:val="a8"/>
        </w:rPr>
        <w:footnoteRef/>
      </w:r>
      <w:r>
        <w:rPr>
          <w:rFonts w:ascii="楷体" w:eastAsia="楷体" w:hAnsi="楷体" w:cs="楷体" w:hint="eastAsia"/>
        </w:rPr>
        <w:t>基期月为2020</w:t>
      </w:r>
      <w:r>
        <w:rPr>
          <w:rFonts w:ascii="楷体" w:eastAsia="楷体" w:hAnsi="楷体" w:cs="楷体" w:hint="eastAsia"/>
        </w:rPr>
        <w:t>年12月，下同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22D"/>
    <w:multiLevelType w:val="multilevel"/>
    <w:tmpl w:val="1093122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7923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2MDJlZmNlZWE1ZTFmMDY2ODMyZDU2ZmFmN2Q0MDU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D6D06"/>
    <w:rsid w:val="01541EA9"/>
    <w:rsid w:val="01DE1773"/>
    <w:rsid w:val="020F4041"/>
    <w:rsid w:val="031E62CB"/>
    <w:rsid w:val="033346AE"/>
    <w:rsid w:val="054836A1"/>
    <w:rsid w:val="0600190E"/>
    <w:rsid w:val="06C56765"/>
    <w:rsid w:val="07A77994"/>
    <w:rsid w:val="08FC6215"/>
    <w:rsid w:val="0A1537BE"/>
    <w:rsid w:val="0A3B0017"/>
    <w:rsid w:val="0ABD5F1F"/>
    <w:rsid w:val="0C10774E"/>
    <w:rsid w:val="0C743400"/>
    <w:rsid w:val="11266B4B"/>
    <w:rsid w:val="11621A79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EE7875"/>
    <w:rsid w:val="1F415B52"/>
    <w:rsid w:val="201721F5"/>
    <w:rsid w:val="20192936"/>
    <w:rsid w:val="206F58BB"/>
    <w:rsid w:val="20AA214D"/>
    <w:rsid w:val="23A66D6C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E7010A"/>
    <w:rsid w:val="2C022E1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B6A7904"/>
    <w:rsid w:val="3B8D2813"/>
    <w:rsid w:val="3C93031D"/>
    <w:rsid w:val="3CA03356"/>
    <w:rsid w:val="3CCD3DD9"/>
    <w:rsid w:val="3D7E1BAC"/>
    <w:rsid w:val="3DC65D7B"/>
    <w:rsid w:val="3DE3213E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3F19F5"/>
    <w:rsid w:val="54741E50"/>
    <w:rsid w:val="55A25EB5"/>
    <w:rsid w:val="56B954B5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C1ADE"/>
    <w:rsid w:val="5DBF0557"/>
    <w:rsid w:val="5DEC1E56"/>
    <w:rsid w:val="5E0C4354"/>
    <w:rsid w:val="5E8507D8"/>
    <w:rsid w:val="5E9620B6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F128B4"/>
    <w:rsid w:val="69DA1A98"/>
    <w:rsid w:val="69E66368"/>
    <w:rsid w:val="6AE04A70"/>
    <w:rsid w:val="6C8E602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7D0C79"/>
    <w:rsid w:val="7C105182"/>
    <w:rsid w:val="7CA84607"/>
    <w:rsid w:val="7D4E6C52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A4F529"/>
  <w15:docId w15:val="{BE75319E-FF4F-4BE6-B35A-9B53C387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before="72"/>
      <w:ind w:left="116" w:right="262"/>
    </w:pPr>
    <w:rPr>
      <w:rFonts w:ascii="PMingLiU" w:eastAsia="PMingLiU" w:hAnsi="PMingLiU" w:cs="PMingLiU"/>
      <w:sz w:val="32"/>
      <w:szCs w:val="32"/>
      <w:lang w:val="zh-CN" w:bidi="zh-CN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basedOn w:val="a0"/>
    <w:qFormat/>
    <w:rPr>
      <w:vertAlign w:val="superscript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header"/>
    <w:basedOn w:val="a"/>
    <w:link w:val="ab"/>
    <w:rsid w:val="00DD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DD6D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DD6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DD6D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24037;&#20316;\&#26032;&#25351;&#25968;&#21046;&#20316;\&#20840;&#22269;\&#25351;&#25968;&#25253;&#21578;&#32467;&#26524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&#24037;&#20316;\&#26032;&#25351;&#25968;&#21046;&#20316;\&#20840;&#22269;\&#25351;&#25968;&#25253;&#21578;&#32467;&#26524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&#24037;&#20316;\&#26032;&#25351;&#25968;&#21046;&#20316;\&#20840;&#22269;\&#25351;&#25968;&#25253;&#21578;&#32467;&#26524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&#24037;&#20316;\&#26032;&#25351;&#25968;&#21046;&#20316;\&#20840;&#22269;\&#25351;&#25968;&#25253;&#21578;&#32467;&#26524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'全国-现金管理'!$A$2:$A$75</c:f>
              <c:numCache>
                <c:formatCode>yyyy"年"m"月"d"日";@</c:formatCode>
                <c:ptCount val="74"/>
                <c:pt idx="0">
                  <c:v>44290</c:v>
                </c:pt>
                <c:pt idx="1">
                  <c:v>44297</c:v>
                </c:pt>
                <c:pt idx="2">
                  <c:v>44304</c:v>
                </c:pt>
                <c:pt idx="3">
                  <c:v>44311</c:v>
                </c:pt>
                <c:pt idx="4">
                  <c:v>44318</c:v>
                </c:pt>
                <c:pt idx="5">
                  <c:v>44325</c:v>
                </c:pt>
                <c:pt idx="6">
                  <c:v>44332</c:v>
                </c:pt>
                <c:pt idx="7">
                  <c:v>44339</c:v>
                </c:pt>
                <c:pt idx="8">
                  <c:v>44346</c:v>
                </c:pt>
                <c:pt idx="9">
                  <c:v>44353</c:v>
                </c:pt>
                <c:pt idx="10">
                  <c:v>44360</c:v>
                </c:pt>
                <c:pt idx="11">
                  <c:v>44367</c:v>
                </c:pt>
                <c:pt idx="12">
                  <c:v>44374</c:v>
                </c:pt>
                <c:pt idx="13">
                  <c:v>44381</c:v>
                </c:pt>
                <c:pt idx="14">
                  <c:v>44388</c:v>
                </c:pt>
                <c:pt idx="15">
                  <c:v>44395</c:v>
                </c:pt>
                <c:pt idx="16">
                  <c:v>44402</c:v>
                </c:pt>
                <c:pt idx="17">
                  <c:v>44409</c:v>
                </c:pt>
                <c:pt idx="18">
                  <c:v>44416</c:v>
                </c:pt>
                <c:pt idx="19">
                  <c:v>44423</c:v>
                </c:pt>
                <c:pt idx="20">
                  <c:v>44430</c:v>
                </c:pt>
                <c:pt idx="21">
                  <c:v>44437</c:v>
                </c:pt>
                <c:pt idx="22">
                  <c:v>44444</c:v>
                </c:pt>
                <c:pt idx="23">
                  <c:v>44451</c:v>
                </c:pt>
                <c:pt idx="24">
                  <c:v>44458</c:v>
                </c:pt>
                <c:pt idx="25">
                  <c:v>44465</c:v>
                </c:pt>
                <c:pt idx="26">
                  <c:v>44472</c:v>
                </c:pt>
                <c:pt idx="27">
                  <c:v>44479</c:v>
                </c:pt>
                <c:pt idx="28">
                  <c:v>44486</c:v>
                </c:pt>
                <c:pt idx="29">
                  <c:v>44493</c:v>
                </c:pt>
                <c:pt idx="30">
                  <c:v>44500</c:v>
                </c:pt>
                <c:pt idx="31">
                  <c:v>44507</c:v>
                </c:pt>
                <c:pt idx="32">
                  <c:v>44514</c:v>
                </c:pt>
                <c:pt idx="33">
                  <c:v>44521</c:v>
                </c:pt>
                <c:pt idx="34">
                  <c:v>44528</c:v>
                </c:pt>
                <c:pt idx="35">
                  <c:v>44535</c:v>
                </c:pt>
                <c:pt idx="36">
                  <c:v>44542</c:v>
                </c:pt>
                <c:pt idx="37">
                  <c:v>44549</c:v>
                </c:pt>
                <c:pt idx="38">
                  <c:v>44556</c:v>
                </c:pt>
                <c:pt idx="39">
                  <c:v>44561</c:v>
                </c:pt>
                <c:pt idx="40">
                  <c:v>44570</c:v>
                </c:pt>
                <c:pt idx="41">
                  <c:v>44577</c:v>
                </c:pt>
                <c:pt idx="42">
                  <c:v>44584</c:v>
                </c:pt>
                <c:pt idx="43">
                  <c:v>44591</c:v>
                </c:pt>
                <c:pt idx="44">
                  <c:v>44598</c:v>
                </c:pt>
                <c:pt idx="45">
                  <c:v>44605</c:v>
                </c:pt>
                <c:pt idx="46">
                  <c:v>44612</c:v>
                </c:pt>
                <c:pt idx="47">
                  <c:v>44619</c:v>
                </c:pt>
                <c:pt idx="48">
                  <c:v>44626</c:v>
                </c:pt>
                <c:pt idx="49">
                  <c:v>44633</c:v>
                </c:pt>
                <c:pt idx="50">
                  <c:v>44640</c:v>
                </c:pt>
                <c:pt idx="51">
                  <c:v>44647</c:v>
                </c:pt>
                <c:pt idx="52">
                  <c:v>44654</c:v>
                </c:pt>
                <c:pt idx="53">
                  <c:v>44661</c:v>
                </c:pt>
                <c:pt idx="54">
                  <c:v>44668</c:v>
                </c:pt>
                <c:pt idx="55">
                  <c:v>44675</c:v>
                </c:pt>
                <c:pt idx="56">
                  <c:v>44682</c:v>
                </c:pt>
                <c:pt idx="57">
                  <c:v>44689</c:v>
                </c:pt>
                <c:pt idx="58">
                  <c:v>44696</c:v>
                </c:pt>
                <c:pt idx="59">
                  <c:v>44703</c:v>
                </c:pt>
                <c:pt idx="60">
                  <c:v>44710</c:v>
                </c:pt>
                <c:pt idx="61">
                  <c:v>44717</c:v>
                </c:pt>
                <c:pt idx="62">
                  <c:v>44724</c:v>
                </c:pt>
                <c:pt idx="63">
                  <c:v>44731</c:v>
                </c:pt>
                <c:pt idx="64">
                  <c:v>44738</c:v>
                </c:pt>
                <c:pt idx="65">
                  <c:v>44745</c:v>
                </c:pt>
                <c:pt idx="66">
                  <c:v>44752</c:v>
                </c:pt>
                <c:pt idx="67">
                  <c:v>44759</c:v>
                </c:pt>
                <c:pt idx="68">
                  <c:v>44766</c:v>
                </c:pt>
                <c:pt idx="69">
                  <c:v>44773</c:v>
                </c:pt>
                <c:pt idx="70">
                  <c:v>44780</c:v>
                </c:pt>
                <c:pt idx="71">
                  <c:v>44787</c:v>
                </c:pt>
                <c:pt idx="72">
                  <c:v>44794</c:v>
                </c:pt>
                <c:pt idx="73">
                  <c:v>44801</c:v>
                </c:pt>
              </c:numCache>
            </c:numRef>
          </c:cat>
          <c:val>
            <c:numRef>
              <c:f>'全国-现金管理'!$B$2:$B$75</c:f>
              <c:numCache>
                <c:formatCode>#,##0.00_ </c:formatCode>
                <c:ptCount val="74"/>
                <c:pt idx="0">
                  <c:v>100</c:v>
                </c:pt>
                <c:pt idx="1">
                  <c:v>98.057728617562205</c:v>
                </c:pt>
                <c:pt idx="2">
                  <c:v>97.816488400048001</c:v>
                </c:pt>
                <c:pt idx="3">
                  <c:v>98.047307747922503</c:v>
                </c:pt>
                <c:pt idx="4">
                  <c:v>98.3489831194548</c:v>
                </c:pt>
                <c:pt idx="5">
                  <c:v>98.299826262975202</c:v>
                </c:pt>
                <c:pt idx="6">
                  <c:v>98.553407867430707</c:v>
                </c:pt>
                <c:pt idx="7">
                  <c:v>97.482582707685395</c:v>
                </c:pt>
                <c:pt idx="8">
                  <c:v>97.722046140688306</c:v>
                </c:pt>
                <c:pt idx="9">
                  <c:v>98.354257482644499</c:v>
                </c:pt>
                <c:pt idx="10">
                  <c:v>97.6913464649964</c:v>
                </c:pt>
                <c:pt idx="11">
                  <c:v>97.992227306874796</c:v>
                </c:pt>
                <c:pt idx="12">
                  <c:v>98.995315420261704</c:v>
                </c:pt>
                <c:pt idx="13">
                  <c:v>99.780571521931094</c:v>
                </c:pt>
                <c:pt idx="14">
                  <c:v>97.271112144421906</c:v>
                </c:pt>
                <c:pt idx="15">
                  <c:v>96.931771146925897</c:v>
                </c:pt>
                <c:pt idx="16">
                  <c:v>96.779392817745304</c:v>
                </c:pt>
                <c:pt idx="17">
                  <c:v>96.936081676324207</c:v>
                </c:pt>
                <c:pt idx="18">
                  <c:v>96.588873914200406</c:v>
                </c:pt>
                <c:pt idx="19">
                  <c:v>95.904302268182803</c:v>
                </c:pt>
                <c:pt idx="20">
                  <c:v>95.979105732336507</c:v>
                </c:pt>
                <c:pt idx="21">
                  <c:v>95.6401269754042</c:v>
                </c:pt>
                <c:pt idx="22">
                  <c:v>96.302826877943005</c:v>
                </c:pt>
                <c:pt idx="23">
                  <c:v>95.727077556969505</c:v>
                </c:pt>
                <c:pt idx="24">
                  <c:v>95.302760910068699</c:v>
                </c:pt>
                <c:pt idx="25">
                  <c:v>94.751901357585197</c:v>
                </c:pt>
                <c:pt idx="26">
                  <c:v>95.174200413015697</c:v>
                </c:pt>
                <c:pt idx="27">
                  <c:v>93.559100141091093</c:v>
                </c:pt>
                <c:pt idx="28">
                  <c:v>95.508046842870996</c:v>
                </c:pt>
                <c:pt idx="29">
                  <c:v>93.771750500904503</c:v>
                </c:pt>
                <c:pt idx="30">
                  <c:v>96.0811403793967</c:v>
                </c:pt>
                <c:pt idx="31">
                  <c:v>93.198845053155694</c:v>
                </c:pt>
                <c:pt idx="32">
                  <c:v>93.779484924717394</c:v>
                </c:pt>
                <c:pt idx="33">
                  <c:v>92.660196728240706</c:v>
                </c:pt>
                <c:pt idx="34">
                  <c:v>92.169368884196004</c:v>
                </c:pt>
                <c:pt idx="35">
                  <c:v>92.409514139015997</c:v>
                </c:pt>
                <c:pt idx="36">
                  <c:v>92.078368202899398</c:v>
                </c:pt>
                <c:pt idx="37">
                  <c:v>92.537550362840804</c:v>
                </c:pt>
                <c:pt idx="38">
                  <c:v>92.726486872594904</c:v>
                </c:pt>
                <c:pt idx="39">
                  <c:v>93.482902250732735</c:v>
                </c:pt>
                <c:pt idx="40">
                  <c:v>91.660175601118794</c:v>
                </c:pt>
                <c:pt idx="41">
                  <c:v>91.50256241708658</c:v>
                </c:pt>
                <c:pt idx="42">
                  <c:v>91.930070513638157</c:v>
                </c:pt>
                <c:pt idx="43">
                  <c:v>93.528865960884616</c:v>
                </c:pt>
                <c:pt idx="44">
                  <c:v>88.191895749217082</c:v>
                </c:pt>
                <c:pt idx="45">
                  <c:v>90.51995028786996</c:v>
                </c:pt>
                <c:pt idx="46">
                  <c:v>89.687393252101032</c:v>
                </c:pt>
                <c:pt idx="47">
                  <c:v>89.403652363614782</c:v>
                </c:pt>
                <c:pt idx="48">
                  <c:v>89.155261500405445</c:v>
                </c:pt>
                <c:pt idx="49">
                  <c:v>87.731646147259283</c:v>
                </c:pt>
                <c:pt idx="50">
                  <c:v>86.967718973583743</c:v>
                </c:pt>
                <c:pt idx="51">
                  <c:v>87.618807545105042</c:v>
                </c:pt>
                <c:pt idx="52">
                  <c:v>87.412655216253881</c:v>
                </c:pt>
                <c:pt idx="53">
                  <c:v>85.938594016786581</c:v>
                </c:pt>
                <c:pt idx="54">
                  <c:v>84.54085941275595</c:v>
                </c:pt>
                <c:pt idx="55">
                  <c:v>83.885893743000366</c:v>
                </c:pt>
                <c:pt idx="56">
                  <c:v>83.335227075590893</c:v>
                </c:pt>
                <c:pt idx="57">
                  <c:v>82.389900637855831</c:v>
                </c:pt>
                <c:pt idx="58">
                  <c:v>83.835865106705782</c:v>
                </c:pt>
                <c:pt idx="59">
                  <c:v>83.75761544895245</c:v>
                </c:pt>
                <c:pt idx="60">
                  <c:v>82.583869148895815</c:v>
                </c:pt>
                <c:pt idx="61">
                  <c:v>82.154971153350559</c:v>
                </c:pt>
                <c:pt idx="62">
                  <c:v>81.852089269792941</c:v>
                </c:pt>
                <c:pt idx="63">
                  <c:v>81.526728304243306</c:v>
                </c:pt>
                <c:pt idx="64">
                  <c:v>82.100475404490609</c:v>
                </c:pt>
                <c:pt idx="65">
                  <c:v>82.034656246200072</c:v>
                </c:pt>
                <c:pt idx="66">
                  <c:v>81.261346160514734</c:v>
                </c:pt>
                <c:pt idx="67">
                  <c:v>79.810607727032206</c:v>
                </c:pt>
                <c:pt idx="68">
                  <c:v>78.699194778568852</c:v>
                </c:pt>
                <c:pt idx="69">
                  <c:v>78.367052297300646</c:v>
                </c:pt>
                <c:pt idx="70">
                  <c:v>78.383470314580705</c:v>
                </c:pt>
                <c:pt idx="71">
                  <c:v>77.668514332432366</c:v>
                </c:pt>
                <c:pt idx="72">
                  <c:v>77.450799876199966</c:v>
                </c:pt>
                <c:pt idx="73">
                  <c:v>75.779174849374755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A2-4F34-82A5-2FE924D109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1"/>
          <c:min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154163363680795E-2"/>
          <c:y val="4.3166789125642903E-2"/>
          <c:w val="0.89908797552987896"/>
          <c:h val="0.62424687729610595"/>
        </c:manualLayout>
      </c:layout>
      <c:lineChart>
        <c:grouping val="stacked"/>
        <c:varyColors val="0"/>
        <c:ser>
          <c:idx val="0"/>
          <c:order val="0"/>
          <c:tx>
            <c:strRef>
              <c:f>'全国-现金管理'!$J$1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'全国-现金管理'!$I$2:$I$75</c:f>
              <c:numCache>
                <c:formatCode>yyyy"年"m"月"d"日";@</c:formatCode>
                <c:ptCount val="74"/>
                <c:pt idx="0">
                  <c:v>44290</c:v>
                </c:pt>
                <c:pt idx="1">
                  <c:v>44297</c:v>
                </c:pt>
                <c:pt idx="2">
                  <c:v>44304</c:v>
                </c:pt>
                <c:pt idx="3">
                  <c:v>44311</c:v>
                </c:pt>
                <c:pt idx="4">
                  <c:v>44318</c:v>
                </c:pt>
                <c:pt idx="5">
                  <c:v>44325</c:v>
                </c:pt>
                <c:pt idx="6">
                  <c:v>44332</c:v>
                </c:pt>
                <c:pt idx="7">
                  <c:v>44339</c:v>
                </c:pt>
                <c:pt idx="8">
                  <c:v>44346</c:v>
                </c:pt>
                <c:pt idx="9">
                  <c:v>44353</c:v>
                </c:pt>
                <c:pt idx="10">
                  <c:v>44360</c:v>
                </c:pt>
                <c:pt idx="11">
                  <c:v>44367</c:v>
                </c:pt>
                <c:pt idx="12">
                  <c:v>44374</c:v>
                </c:pt>
                <c:pt idx="13">
                  <c:v>44381</c:v>
                </c:pt>
                <c:pt idx="14">
                  <c:v>44388</c:v>
                </c:pt>
                <c:pt idx="15">
                  <c:v>44395</c:v>
                </c:pt>
                <c:pt idx="16">
                  <c:v>44402</c:v>
                </c:pt>
                <c:pt idx="17">
                  <c:v>44409</c:v>
                </c:pt>
                <c:pt idx="18">
                  <c:v>44416</c:v>
                </c:pt>
                <c:pt idx="19">
                  <c:v>44423</c:v>
                </c:pt>
                <c:pt idx="20">
                  <c:v>44430</c:v>
                </c:pt>
                <c:pt idx="21">
                  <c:v>44437</c:v>
                </c:pt>
                <c:pt idx="22">
                  <c:v>44444</c:v>
                </c:pt>
                <c:pt idx="23">
                  <c:v>44451</c:v>
                </c:pt>
                <c:pt idx="24">
                  <c:v>44458</c:v>
                </c:pt>
                <c:pt idx="25">
                  <c:v>44465</c:v>
                </c:pt>
                <c:pt idx="26">
                  <c:v>44472</c:v>
                </c:pt>
                <c:pt idx="27">
                  <c:v>44479</c:v>
                </c:pt>
                <c:pt idx="28">
                  <c:v>44486</c:v>
                </c:pt>
                <c:pt idx="29">
                  <c:v>44493</c:v>
                </c:pt>
                <c:pt idx="30">
                  <c:v>44500</c:v>
                </c:pt>
                <c:pt idx="31">
                  <c:v>44507</c:v>
                </c:pt>
                <c:pt idx="32">
                  <c:v>44514</c:v>
                </c:pt>
                <c:pt idx="33">
                  <c:v>44521</c:v>
                </c:pt>
                <c:pt idx="34">
                  <c:v>44528</c:v>
                </c:pt>
                <c:pt idx="35">
                  <c:v>44535</c:v>
                </c:pt>
                <c:pt idx="36">
                  <c:v>44542</c:v>
                </c:pt>
                <c:pt idx="37">
                  <c:v>44549</c:v>
                </c:pt>
                <c:pt idx="38">
                  <c:v>44556</c:v>
                </c:pt>
                <c:pt idx="39">
                  <c:v>44561</c:v>
                </c:pt>
                <c:pt idx="40">
                  <c:v>44570</c:v>
                </c:pt>
                <c:pt idx="41">
                  <c:v>44577</c:v>
                </c:pt>
                <c:pt idx="42">
                  <c:v>44584</c:v>
                </c:pt>
                <c:pt idx="43">
                  <c:v>44591</c:v>
                </c:pt>
                <c:pt idx="44">
                  <c:v>44598</c:v>
                </c:pt>
                <c:pt idx="45">
                  <c:v>44605</c:v>
                </c:pt>
                <c:pt idx="46">
                  <c:v>44612</c:v>
                </c:pt>
                <c:pt idx="47">
                  <c:v>44619</c:v>
                </c:pt>
                <c:pt idx="48">
                  <c:v>44626</c:v>
                </c:pt>
                <c:pt idx="49">
                  <c:v>44633</c:v>
                </c:pt>
                <c:pt idx="50">
                  <c:v>44640</c:v>
                </c:pt>
                <c:pt idx="51">
                  <c:v>44647</c:v>
                </c:pt>
                <c:pt idx="52">
                  <c:v>44654</c:v>
                </c:pt>
                <c:pt idx="53">
                  <c:v>44661</c:v>
                </c:pt>
                <c:pt idx="54">
                  <c:v>44668</c:v>
                </c:pt>
                <c:pt idx="55">
                  <c:v>44675</c:v>
                </c:pt>
                <c:pt idx="56">
                  <c:v>44682</c:v>
                </c:pt>
                <c:pt idx="57">
                  <c:v>44689</c:v>
                </c:pt>
                <c:pt idx="58">
                  <c:v>44696</c:v>
                </c:pt>
                <c:pt idx="59">
                  <c:v>44703</c:v>
                </c:pt>
                <c:pt idx="60">
                  <c:v>44710</c:v>
                </c:pt>
                <c:pt idx="61">
                  <c:v>44717</c:v>
                </c:pt>
                <c:pt idx="62">
                  <c:v>44724</c:v>
                </c:pt>
                <c:pt idx="63">
                  <c:v>44731</c:v>
                </c:pt>
                <c:pt idx="64">
                  <c:v>44738</c:v>
                </c:pt>
                <c:pt idx="65">
                  <c:v>44745</c:v>
                </c:pt>
                <c:pt idx="66">
                  <c:v>44752</c:v>
                </c:pt>
                <c:pt idx="67">
                  <c:v>44759</c:v>
                </c:pt>
                <c:pt idx="68">
                  <c:v>44766</c:v>
                </c:pt>
                <c:pt idx="69">
                  <c:v>44773</c:v>
                </c:pt>
                <c:pt idx="70">
                  <c:v>44780</c:v>
                </c:pt>
                <c:pt idx="71">
                  <c:v>44787</c:v>
                </c:pt>
                <c:pt idx="72">
                  <c:v>44794</c:v>
                </c:pt>
                <c:pt idx="73">
                  <c:v>44801</c:v>
                </c:pt>
              </c:numCache>
            </c:numRef>
          </c:cat>
          <c:val>
            <c:numRef>
              <c:f>'全国-现金管理'!$J$2:$J$75</c:f>
              <c:numCache>
                <c:formatCode>0.00_ </c:formatCode>
                <c:ptCount val="74"/>
                <c:pt idx="0">
                  <c:v>3.2743740758676299</c:v>
                </c:pt>
                <c:pt idx="1">
                  <c:v>3.2107768452380898</c:v>
                </c:pt>
                <c:pt idx="2">
                  <c:v>3.20287773809524</c:v>
                </c:pt>
                <c:pt idx="3">
                  <c:v>3.2104356269841299</c:v>
                </c:pt>
                <c:pt idx="4">
                  <c:v>3.22031360714286</c:v>
                </c:pt>
                <c:pt idx="5">
                  <c:v>3.2187040277777799</c:v>
                </c:pt>
                <c:pt idx="6">
                  <c:v>3.2270072380952399</c:v>
                </c:pt>
                <c:pt idx="7">
                  <c:v>3.1919444166666699</c:v>
                </c:pt>
                <c:pt idx="8">
                  <c:v>3.1997853452381002</c:v>
                </c:pt>
                <c:pt idx="9">
                  <c:v>3.2204863095238099</c:v>
                </c:pt>
                <c:pt idx="10">
                  <c:v>3.1987801230158701</c:v>
                </c:pt>
                <c:pt idx="11">
                  <c:v>3.2086320873015901</c:v>
                </c:pt>
                <c:pt idx="12">
                  <c:v>3.24147694444444</c:v>
                </c:pt>
                <c:pt idx="13">
                  <c:v>3.2671891666666699</c:v>
                </c:pt>
                <c:pt idx="14">
                  <c:v>3.18502007936508</c:v>
                </c:pt>
                <c:pt idx="15">
                  <c:v>3.1739087857142798</c:v>
                </c:pt>
                <c:pt idx="16">
                  <c:v>3.1689193492063499</c:v>
                </c:pt>
                <c:pt idx="17">
                  <c:v>3.1740499285714301</c:v>
                </c:pt>
                <c:pt idx="18">
                  <c:v>3.1626810476190501</c:v>
                </c:pt>
                <c:pt idx="19">
                  <c:v>3.14026561111111</c:v>
                </c:pt>
                <c:pt idx="20">
                  <c:v>3.1427149563492098</c:v>
                </c:pt>
                <c:pt idx="21">
                  <c:v>3.1316155238095198</c:v>
                </c:pt>
                <c:pt idx="22">
                  <c:v>3.1533147976190499</c:v>
                </c:pt>
                <c:pt idx="23">
                  <c:v>3.1344626111111098</c:v>
                </c:pt>
                <c:pt idx="24">
                  <c:v>3.1205688968254002</c:v>
                </c:pt>
                <c:pt idx="25">
                  <c:v>3.1025316944444401</c:v>
                </c:pt>
                <c:pt idx="26">
                  <c:v>3.1163593452380902</c:v>
                </c:pt>
                <c:pt idx="27">
                  <c:v>3.0634749206349201</c:v>
                </c:pt>
                <c:pt idx="28">
                  <c:v>3.1272907261904801</c:v>
                </c:pt>
                <c:pt idx="29">
                  <c:v>3.0704378888888901</c:v>
                </c:pt>
                <c:pt idx="30">
                  <c:v>3.1460559523809501</c:v>
                </c:pt>
                <c:pt idx="31">
                  <c:v>3.0516788214285699</c:v>
                </c:pt>
                <c:pt idx="32">
                  <c:v>3.07069114285714</c:v>
                </c:pt>
                <c:pt idx="33">
                  <c:v>3.0340414603174599</c:v>
                </c:pt>
                <c:pt idx="34">
                  <c:v>3.0179699206349202</c:v>
                </c:pt>
                <c:pt idx="35">
                  <c:v>3.0258331746031701</c:v>
                </c:pt>
                <c:pt idx="36">
                  <c:v>3.01499021791768</c:v>
                </c:pt>
                <c:pt idx="37">
                  <c:v>3.0300255595238101</c:v>
                </c:pt>
                <c:pt idx="38">
                  <c:v>3.0362120476190499</c:v>
                </c:pt>
                <c:pt idx="39">
                  <c:v>3.0609799166666698</c:v>
                </c:pt>
                <c:pt idx="40" formatCode="0.00_);[Red]\(0.00\)">
                  <c:v>3.0012970277777802</c:v>
                </c:pt>
                <c:pt idx="41" formatCode="0.00_);[Red]\(0.00\)">
                  <c:v>2.9961361825396802</c:v>
                </c:pt>
                <c:pt idx="42" formatCode="0.00_);[Red]\(0.00\)">
                  <c:v>3.0101343968254</c:v>
                </c:pt>
                <c:pt idx="43" formatCode="0.00_);[Red]\(0.00\)">
                  <c:v>3.0624849404761898</c:v>
                </c:pt>
                <c:pt idx="44" formatCode="0.00_);[Red]\(0.00\)">
                  <c:v>2.88773257142857</c:v>
                </c:pt>
                <c:pt idx="45" formatCode="0.00_);[Red]\(0.00\)">
                  <c:v>2.9639617857142802</c:v>
                </c:pt>
                <c:pt idx="46" formatCode="0.00_);[Red]\(0.00\)">
                  <c:v>2.9367007539682501</c:v>
                </c:pt>
                <c:pt idx="47" formatCode="0.00_);[Red]\(0.00\)">
                  <c:v>2.9274100158730199</c:v>
                </c:pt>
                <c:pt idx="48">
                  <c:v>2.9192767698412698</c:v>
                </c:pt>
                <c:pt idx="49">
                  <c:v>2.8726622777777799</c:v>
                </c:pt>
                <c:pt idx="50">
                  <c:v>2.8476484444444399</c:v>
                </c:pt>
                <c:pt idx="51">
                  <c:v>2.8689675198412701</c:v>
                </c:pt>
                <c:pt idx="52">
                  <c:v>2.8622173214285702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2.7467379580306699</c:v>
                </c:pt>
                <c:pt idx="56">
                  <c:v>2.7287070714285702</c:v>
                </c:pt>
                <c:pt idx="57" formatCode="#,##0.00_ ">
                  <c:v>2.6977535476190502</c:v>
                </c:pt>
                <c:pt idx="58" formatCode="#,##0.00_ ">
                  <c:v>2.7450998333333301</c:v>
                </c:pt>
                <c:pt idx="59" formatCode="#,##0.00_ ">
                  <c:v>2.7425376468253999</c:v>
                </c:pt>
                <c:pt idx="60" formatCode="#,##0.00_ ">
                  <c:v>2.7041048022598901</c:v>
                </c:pt>
                <c:pt idx="61" formatCode="#,##0.00_ ">
                  <c:v>2.6900610774818401</c:v>
                </c:pt>
                <c:pt idx="62" formatCode="#,##0.00_ ">
                  <c:v>2.68014359160613</c:v>
                </c:pt>
                <c:pt idx="63" formatCode="#,##0.00_ ">
                  <c:v>2.66949005649718</c:v>
                </c:pt>
                <c:pt idx="64" formatCode="#,##0.00_ ">
                  <c:v>2.6882766828087199</c:v>
                </c:pt>
                <c:pt idx="65" formatCode="#,##0.00_ ">
                  <c:v>2.6861215173527002</c:v>
                </c:pt>
                <c:pt idx="66" formatCode="#,##0.00_ ">
                  <c:v>2.6608004523809501</c:v>
                </c:pt>
                <c:pt idx="67" formatCode="#,##0.00_ ">
                  <c:v>2.6132978492063499</c:v>
                </c:pt>
                <c:pt idx="68" formatCode="#,##0.00_ ">
                  <c:v>2.5769060317460299</c:v>
                </c:pt>
                <c:pt idx="69" formatCode="#,##0.00_ ">
                  <c:v>2.56603044444444</c:v>
                </c:pt>
                <c:pt idx="70" formatCode="#,##0.00_ ">
                  <c:v>2.56656803174603</c:v>
                </c:pt>
                <c:pt idx="71" formatCode="#,##0.00_ ">
                  <c:v>2.5431576984127</c:v>
                </c:pt>
                <c:pt idx="72" formatCode="#,##0.00_ ">
                  <c:v>2.5360289126984101</c:v>
                </c:pt>
                <c:pt idx="73" formatCode="#,##0.00_ ">
                  <c:v>2.48129365617433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7E-428D-8ABD-7DA78C850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.45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  <a:endParaRPr lang="zh-CN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'全国-非现金管理'!$A$2:$A$22</c:f>
              <c:numCache>
                <c:formatCode>yyyy"年"m"月"</c:formatCode>
                <c:ptCount val="21"/>
                <c:pt idx="0">
                  <c:v>44166</c:v>
                </c:pt>
                <c:pt idx="1">
                  <c:v>44197</c:v>
                </c:pt>
                <c:pt idx="2">
                  <c:v>44228</c:v>
                </c:pt>
                <c:pt idx="3">
                  <c:v>44256</c:v>
                </c:pt>
                <c:pt idx="4">
                  <c:v>44287</c:v>
                </c:pt>
                <c:pt idx="5">
                  <c:v>44317</c:v>
                </c:pt>
                <c:pt idx="6">
                  <c:v>44348</c:v>
                </c:pt>
                <c:pt idx="7">
                  <c:v>44378</c:v>
                </c:pt>
                <c:pt idx="8">
                  <c:v>44409</c:v>
                </c:pt>
                <c:pt idx="9">
                  <c:v>44440</c:v>
                </c:pt>
                <c:pt idx="10">
                  <c:v>44470</c:v>
                </c:pt>
                <c:pt idx="11">
                  <c:v>44502</c:v>
                </c:pt>
                <c:pt idx="12">
                  <c:v>44531</c:v>
                </c:pt>
                <c:pt idx="13">
                  <c:v>44562</c:v>
                </c:pt>
                <c:pt idx="14">
                  <c:v>44593</c:v>
                </c:pt>
                <c:pt idx="15">
                  <c:v>44622</c:v>
                </c:pt>
                <c:pt idx="16">
                  <c:v>44653</c:v>
                </c:pt>
                <c:pt idx="17">
                  <c:v>44683</c:v>
                </c:pt>
                <c:pt idx="18">
                  <c:v>44714</c:v>
                </c:pt>
                <c:pt idx="19">
                  <c:v>44743</c:v>
                </c:pt>
                <c:pt idx="20">
                  <c:v>44774</c:v>
                </c:pt>
              </c:numCache>
            </c:numRef>
          </c:cat>
          <c:val>
            <c:numRef>
              <c:f>'全国-非现金管理'!$B$2:$B$22</c:f>
              <c:numCache>
                <c:formatCode>0.00_ </c:formatCode>
                <c:ptCount val="21"/>
                <c:pt idx="0">
                  <c:v>100</c:v>
                </c:pt>
                <c:pt idx="1">
                  <c:v>100.390963423534</c:v>
                </c:pt>
                <c:pt idx="2">
                  <c:v>100.69334242520399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101.76445599461501</c:v>
                </c:pt>
                <c:pt idx="6">
                  <c:v>102.08109158219</c:v>
                </c:pt>
                <c:pt idx="7">
                  <c:v>102.44156738073799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104.84027437217399</c:v>
                </c:pt>
                <c:pt idx="15">
                  <c:v>104.912075411996</c:v>
                </c:pt>
                <c:pt idx="16">
                  <c:v>105.23842816938399</c:v>
                </c:pt>
                <c:pt idx="17" formatCode="#,##0.00_ ">
                  <c:v>105.75243073911101</c:v>
                </c:pt>
                <c:pt idx="18" formatCode="#,##0.00_ ">
                  <c:v>106.06836496678901</c:v>
                </c:pt>
                <c:pt idx="19" formatCode="#,##0.00_ ">
                  <c:v>106.45378570049</c:v>
                </c:pt>
                <c:pt idx="20" formatCode="#,##0.00_ ">
                  <c:v>106.77490789473001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C8-47A6-92EB-F2DC7C9FA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  <a:endParaRPr lang="zh-CN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'全国-非现金管理'!$H$2:$H$22</c:f>
              <c:numCache>
                <c:formatCode>yyyy"年"m"月"</c:formatCode>
                <c:ptCount val="21"/>
                <c:pt idx="0">
                  <c:v>44166</c:v>
                </c:pt>
                <c:pt idx="1">
                  <c:v>44197</c:v>
                </c:pt>
                <c:pt idx="2">
                  <c:v>44228</c:v>
                </c:pt>
                <c:pt idx="3">
                  <c:v>44256</c:v>
                </c:pt>
                <c:pt idx="4">
                  <c:v>44287</c:v>
                </c:pt>
                <c:pt idx="5">
                  <c:v>44317</c:v>
                </c:pt>
                <c:pt idx="6">
                  <c:v>44348</c:v>
                </c:pt>
                <c:pt idx="7">
                  <c:v>44378</c:v>
                </c:pt>
                <c:pt idx="8">
                  <c:v>44409</c:v>
                </c:pt>
                <c:pt idx="9">
                  <c:v>44440</c:v>
                </c:pt>
                <c:pt idx="10">
                  <c:v>44470</c:v>
                </c:pt>
                <c:pt idx="11">
                  <c:v>44502</c:v>
                </c:pt>
                <c:pt idx="12">
                  <c:v>44531</c:v>
                </c:pt>
                <c:pt idx="13">
                  <c:v>44562</c:v>
                </c:pt>
                <c:pt idx="14">
                  <c:v>44594</c:v>
                </c:pt>
                <c:pt idx="15">
                  <c:v>44622</c:v>
                </c:pt>
                <c:pt idx="16">
                  <c:v>44652</c:v>
                </c:pt>
                <c:pt idx="17">
                  <c:v>44682</c:v>
                </c:pt>
                <c:pt idx="18">
                  <c:v>44714</c:v>
                </c:pt>
                <c:pt idx="19">
                  <c:v>44743</c:v>
                </c:pt>
                <c:pt idx="20">
                  <c:v>44774</c:v>
                </c:pt>
              </c:numCache>
            </c:numRef>
          </c:cat>
          <c:val>
            <c:numRef>
              <c:f>'全国-非现金管理'!$I$2:$I$22</c:f>
              <c:numCache>
                <c:formatCode>0.00_ </c:formatCode>
                <c:ptCount val="21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101.85492514818399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103.64819699282801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104.85195014948199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formatCode="#,##0.00_ ">
                  <c:v>105.850410425166</c:v>
                </c:pt>
                <c:pt idx="18" formatCode="#,##0.00_ ">
                  <c:v>106.26502582124699</c:v>
                </c:pt>
                <c:pt idx="19" formatCode="#,##0.00_ ">
                  <c:v>106.66386279084399</c:v>
                </c:pt>
                <c:pt idx="20">
                  <c:v>106.93815885450999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FF-4602-BCAB-01738645F7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  <a:endParaRPr lang="zh-CN"/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cui cecilia</cp:lastModifiedBy>
  <cp:revision>4</cp:revision>
  <cp:lastPrinted>2021-04-27T01:24:00Z</cp:lastPrinted>
  <dcterms:created xsi:type="dcterms:W3CDTF">2021-04-20T02:37:00Z</dcterms:created>
  <dcterms:modified xsi:type="dcterms:W3CDTF">2022-09-16T06:06:00Z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1FA39EFF1F544843BCDF4AB86E3A80B5</vt:lpwstr>
  </property>
</Properties>
</file>