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：</w:t>
      </w:r>
    </w:p>
    <w:p>
      <w:pPr>
        <w:snapToGrid w:val="0"/>
        <w:spacing w:line="600" w:lineRule="exact"/>
        <w:jc w:val="center"/>
        <w:rPr>
          <w:rFonts w:cs="宋体"/>
          <w:b/>
          <w:bCs/>
          <w:sz w:val="36"/>
          <w:szCs w:val="36"/>
        </w:rPr>
      </w:pPr>
      <w:bookmarkStart w:id="0" w:name="_GoBack"/>
      <w:r>
        <w:rPr>
          <w:rFonts w:ascii="宋体" w:hAnsi="宋体"/>
          <w:b/>
          <w:bCs/>
          <w:sz w:val="36"/>
          <w:szCs w:val="36"/>
        </w:rPr>
        <w:t>《中国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银行业协会银行卡产业发展蓝皮书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>2022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eastAsia="zh-CN"/>
        </w:rPr>
        <w:t>）</w:t>
      </w:r>
      <w:r>
        <w:rPr>
          <w:rFonts w:ascii="宋体" w:hAnsi="宋体"/>
          <w:b/>
          <w:bCs/>
          <w:sz w:val="36"/>
          <w:szCs w:val="36"/>
        </w:rPr>
        <w:t>》</w:t>
      </w:r>
      <w:r>
        <w:rPr>
          <w:rFonts w:hint="eastAsia" w:cs="宋体"/>
          <w:b/>
          <w:bCs/>
          <w:sz w:val="36"/>
          <w:szCs w:val="36"/>
        </w:rPr>
        <w:t>征订说明</w:t>
      </w:r>
      <w:bookmarkEnd w:id="0"/>
    </w:p>
    <w:p>
      <w:pPr>
        <w:pStyle w:val="18"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8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银行业协会银行卡产业发展蓝皮书（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》是中国银行业协会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银行卡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专业委员会组织编写、发布和出版的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银行卡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报告。具体征订流程详见如下内容：</w:t>
      </w:r>
    </w:p>
    <w:p>
      <w:pPr>
        <w:numPr>
          <w:ilvl w:val="0"/>
          <w:numId w:val="1"/>
        </w:numPr>
        <w:spacing w:line="600" w:lineRule="exact"/>
        <w:ind w:firstLine="66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登录http://j2.cfph.cn/b1258.html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6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继续点选“订购图书”（蓝色长方块），完整准确地填写您的订购信息，请务必保证信息无误后“提交订单”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按照订单提示金额，用订单上填写的付款银行账号，完成网银转账或银行汇款。本书定价为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0元/册。</w:t>
      </w:r>
      <w:r>
        <w:rPr>
          <w:rFonts w:hint="eastAsia" w:ascii="仿宋_GB2312" w:hAnsi="仿宋_GB2312" w:eastAsia="仿宋_GB2312" w:cs="仿宋_GB2312"/>
          <w:sz w:val="32"/>
          <w:szCs w:val="32"/>
        </w:rPr>
        <w:t>订购单位支付书款总额为：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0元*征订数量+邮费（邮费=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0元*征订数量*5%，如征订数量≧20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册</w:t>
      </w:r>
      <w:r>
        <w:rPr>
          <w:rFonts w:hint="eastAsia" w:ascii="仿宋_GB2312" w:hAnsi="仿宋" w:eastAsia="仿宋_GB2312"/>
          <w:sz w:val="32"/>
          <w:szCs w:val="32"/>
        </w:rPr>
        <w:t>，则免邮费）。</w:t>
      </w: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本书为预售状态，收到订单和汇款后，出版社将邮寄发票。（发票金额为支付书款总金额，包含邮寄费，出版社收到汇款后方能开具发票，不能先提供发票，请谅解！）</w:t>
      </w: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出版社汇款账户信息如下：</w:t>
      </w: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户   名：中国金融出版社有限公司 </w:t>
      </w: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开户行：中国光大银行北京长安支行</w:t>
      </w: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账   号：083518120100304006660</w:t>
      </w: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如需查询您的订单状态，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请</w:t>
      </w:r>
      <w:r>
        <w:rPr>
          <w:rFonts w:hint="eastAsia" w:ascii="仿宋_GB2312" w:hAnsi="仿宋" w:eastAsia="仿宋_GB2312"/>
          <w:sz w:val="32"/>
          <w:szCs w:val="32"/>
        </w:rPr>
        <w:t>进入网页首页，在网页右上方查询订单框输入收件人手机号可随时进行查询。关于订单填写、发票、图书运送和签收的详细内容请仔细阅读网页上的订购须知，谢谢合作！</w:t>
      </w: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另外，移动客户端可使用微信扫描下方二维码直达购书页面：</w:t>
      </w:r>
    </w:p>
    <w:p>
      <w:pPr>
        <w:spacing w:line="240" w:lineRule="auto"/>
        <w:ind w:firstLine="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inline distT="0" distB="0" distL="114300" distR="114300">
            <wp:extent cx="1493520" cy="1493520"/>
            <wp:effectExtent l="0" t="0" r="0" b="0"/>
            <wp:docPr id="1" name="图片 1" descr="C:\Users\Administrator\Desktop\蓝皮书2022征订二维码.png蓝皮书2022征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蓝皮书2022征订二维码.png蓝皮书2022征订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 w:cs="仿宋"/>
          <w:b/>
          <w:sz w:val="28"/>
          <w:szCs w:val="30"/>
        </w:rPr>
        <w:t>蓝皮书订购二维码</w:t>
      </w:r>
    </w:p>
    <w:p>
      <w:pPr>
        <w:spacing w:line="600" w:lineRule="exact"/>
        <w:ind w:firstLine="660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中国金融出版社联系人：杨莹</w:t>
      </w:r>
    </w:p>
    <w:p>
      <w:pPr>
        <w:spacing w:line="600" w:lineRule="exact"/>
        <w:ind w:firstLine="66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联系电话：010-63422152</w:t>
      </w:r>
    </w:p>
    <w:p>
      <w:pPr>
        <w:spacing w:line="60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Proxima Nova">
    <w:altName w:val="Segoe Print"/>
    <w:panose1 w:val="00000000000000000000"/>
    <w:charset w:val="00"/>
    <w:family w:val="modern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00" w:usb3="00000000" w:csb0="00160004" w:csb1="0202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 盈黑 PRC W3">
    <w:altName w:val="微软雅黑"/>
    <w:panose1 w:val="020B0604020202020204"/>
    <w:charset w:val="86"/>
    <w:family w:val="modern"/>
    <w:pitch w:val="default"/>
    <w:sig w:usb0="00000000" w:usb1="00000000" w:usb2="0000001E" w:usb3="00000000" w:csb0="0004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Medium">
    <w:altName w:val="Adobe 仿宋 Std R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仿宋 Std R">
    <w:panose1 w:val="02020400000000000000"/>
    <w:charset w:val="80"/>
    <w:family w:val="auto"/>
    <w:pitch w:val="default"/>
    <w:sig w:usb0="00000001" w:usb1="0A0F1810" w:usb2="00000016" w:usb3="00000000" w:csb0="00060007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ingFang SC 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TC-*MHeiS-B+Frutiger65Bold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7D34"/>
    <w:multiLevelType w:val="singleLevel"/>
    <w:tmpl w:val="63297D3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2AF2"/>
    <w:rsid w:val="000116F9"/>
    <w:rsid w:val="00081661"/>
    <w:rsid w:val="000E2FC5"/>
    <w:rsid w:val="0010588F"/>
    <w:rsid w:val="00136B01"/>
    <w:rsid w:val="0015169C"/>
    <w:rsid w:val="001913CC"/>
    <w:rsid w:val="001A5233"/>
    <w:rsid w:val="001E7134"/>
    <w:rsid w:val="002B0C73"/>
    <w:rsid w:val="003023B6"/>
    <w:rsid w:val="0033289E"/>
    <w:rsid w:val="00391728"/>
    <w:rsid w:val="003D3980"/>
    <w:rsid w:val="003D7E7B"/>
    <w:rsid w:val="004731C0"/>
    <w:rsid w:val="004B4DE4"/>
    <w:rsid w:val="004E66E2"/>
    <w:rsid w:val="00504EC7"/>
    <w:rsid w:val="00610BF8"/>
    <w:rsid w:val="006346BF"/>
    <w:rsid w:val="0069378F"/>
    <w:rsid w:val="00732AF2"/>
    <w:rsid w:val="0082423A"/>
    <w:rsid w:val="008A7F5A"/>
    <w:rsid w:val="00914C1E"/>
    <w:rsid w:val="00A1264F"/>
    <w:rsid w:val="00B360AC"/>
    <w:rsid w:val="00C67895"/>
    <w:rsid w:val="00CC1AD5"/>
    <w:rsid w:val="00CC4828"/>
    <w:rsid w:val="00E71118"/>
    <w:rsid w:val="00F50FFF"/>
    <w:rsid w:val="00F61385"/>
    <w:rsid w:val="00F7247F"/>
    <w:rsid w:val="00F82754"/>
    <w:rsid w:val="00FF131E"/>
    <w:rsid w:val="031E23F5"/>
    <w:rsid w:val="05BA003D"/>
    <w:rsid w:val="0FD7644E"/>
    <w:rsid w:val="11C976E3"/>
    <w:rsid w:val="15CD4D2D"/>
    <w:rsid w:val="1C3161EC"/>
    <w:rsid w:val="20D559B5"/>
    <w:rsid w:val="21B55F25"/>
    <w:rsid w:val="240E2F90"/>
    <w:rsid w:val="2CC7755B"/>
    <w:rsid w:val="3D8A64DA"/>
    <w:rsid w:val="3FD20BEE"/>
    <w:rsid w:val="41E81ECC"/>
    <w:rsid w:val="4C422DE8"/>
    <w:rsid w:val="4C6A78A2"/>
    <w:rsid w:val="4E8322FD"/>
    <w:rsid w:val="4F670910"/>
    <w:rsid w:val="515562F8"/>
    <w:rsid w:val="61BD5266"/>
    <w:rsid w:val="67472DA5"/>
    <w:rsid w:val="69114855"/>
    <w:rsid w:val="6EFE2FF2"/>
    <w:rsid w:val="761C4AA4"/>
    <w:rsid w:val="7D313686"/>
    <w:rsid w:val="7D3205EE"/>
    <w:rsid w:val="7DEE595C"/>
    <w:rsid w:val="7FB14D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kern w:val="36"/>
      <w:sz w:val="36"/>
    </w:rPr>
  </w:style>
  <w:style w:type="paragraph" w:styleId="3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9"/>
    <w:link w:val="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7">
    <w:name w:val="不明显强调1"/>
    <w:basedOn w:val="9"/>
    <w:qFormat/>
    <w:uiPriority w:val="19"/>
    <w:rPr>
      <w:i/>
      <w:iCs/>
      <w:color w:val="808080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908</Words>
  <Characters>5182</Characters>
  <Lines>43</Lines>
  <Paragraphs>12</Paragraphs>
  <ScaleCrop>false</ScaleCrop>
  <LinksUpToDate>false</LinksUpToDate>
  <CharactersWithSpaces>6078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2019-09-04T07:27:00Z</dcterms:created>
  <dc:creator>Windows 用户</dc:creator>
  <cp:lastModifiedBy>钱尧</cp:lastModifiedBy>
  <cp:lastPrinted>2021-11-11T07:00:00Z</cp:lastPrinted>
  <dcterms:modified xsi:type="dcterms:W3CDTF">2022-09-29T01:21:35Z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