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仿宋_GB2312"/>
          <w:b/>
          <w:color w:val="000000"/>
          <w:sz w:val="36"/>
          <w:szCs w:val="36"/>
        </w:rPr>
      </w:pPr>
      <w:bookmarkStart w:id="0" w:name="_GoBack"/>
      <w:r>
        <w:rPr>
          <w:rFonts w:ascii="宋体" w:hAnsi="宋体" w:cs="仿宋_GB2312"/>
          <w:b/>
          <w:color w:val="000000"/>
          <w:sz w:val="36"/>
          <w:szCs w:val="36"/>
        </w:rPr>
        <w:t>《中国银行家调查报告（20</w:t>
      </w:r>
      <w:r>
        <w:rPr>
          <w:rFonts w:hint="eastAsia" w:ascii="宋体" w:hAnsi="宋体" w:cs="仿宋_GB2312"/>
          <w:b/>
          <w:color w:val="000000"/>
          <w:sz w:val="36"/>
          <w:szCs w:val="36"/>
          <w:lang w:val="en-US" w:eastAsia="zh-CN"/>
        </w:rPr>
        <w:t>22</w:t>
      </w:r>
      <w:r>
        <w:rPr>
          <w:rFonts w:ascii="宋体" w:hAnsi="宋体" w:cs="仿宋_GB2312"/>
          <w:b/>
          <w:color w:val="000000"/>
          <w:sz w:val="36"/>
          <w:szCs w:val="36"/>
        </w:rPr>
        <w:t>）》发布辞</w:t>
      </w:r>
    </w:p>
    <w:bookmarkEnd w:id="0"/>
    <w:p>
      <w:pPr>
        <w:spacing w:line="360" w:lineRule="auto"/>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中国银行业协会首席经济学家巴曙松</w:t>
      </w:r>
    </w:p>
    <w:p>
      <w:pPr>
        <w:ind w:firstLine="640" w:firstLineChars="200"/>
        <w:rPr>
          <w:rFonts w:hint="eastAsia" w:ascii="仿宋" w:hAnsi="仿宋" w:eastAsia="仿宋" w:cs="Times New Roman"/>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近日，中国银行业协会发布的《中国银行家调查报告（</w:t>
      </w:r>
      <w:r>
        <w:rPr>
          <w:rFonts w:ascii="仿宋" w:hAnsi="仿宋" w:eastAsia="仿宋" w:cs="Times New Roman"/>
          <w:sz w:val="32"/>
          <w:szCs w:val="32"/>
        </w:rPr>
        <w:t>2022</w:t>
      </w:r>
      <w:r>
        <w:rPr>
          <w:rFonts w:hint="eastAsia" w:ascii="仿宋" w:hAnsi="仿宋" w:eastAsia="仿宋" w:cs="Times New Roman"/>
          <w:sz w:val="32"/>
          <w:szCs w:val="32"/>
        </w:rPr>
        <w:t>）》（以下简称《报告》）。《报告》由中国银行业协会和普华永道共同发起，已经连续第十四年公开发布。本调查项目由中国银行业协会首席经济学家巴曙松教授主持并负责。</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对于该报告的发布，巴曙松表示，</w:t>
      </w:r>
      <w:r>
        <w:rPr>
          <w:rFonts w:ascii="仿宋" w:hAnsi="仿宋" w:eastAsia="仿宋" w:cs="Times New Roman"/>
          <w:sz w:val="32"/>
          <w:szCs w:val="32"/>
        </w:rPr>
        <w:t>2022年是党和国家事业发展进程中的重要一年，是我国进入全面建设社会主义现代化国家、向第二个百年奋斗目标进军的重要一年。尽管国际环境愈发复杂，自然灾难不断、地缘政治紧张、局部冲突激烈、经济复苏乏力、能粮价格飙升，站在百年变局的历史十字路口，中国银行业</w:t>
      </w:r>
      <w:r>
        <w:rPr>
          <w:rFonts w:hint="eastAsia" w:ascii="仿宋" w:hAnsi="仿宋" w:eastAsia="仿宋" w:cs="Times New Roman"/>
          <w:sz w:val="32"/>
          <w:szCs w:val="32"/>
        </w:rPr>
        <w:t>依然坚持</w:t>
      </w:r>
      <w:r>
        <w:rPr>
          <w:rFonts w:ascii="仿宋" w:hAnsi="仿宋" w:eastAsia="仿宋" w:cs="Times New Roman"/>
          <w:sz w:val="32"/>
          <w:szCs w:val="32"/>
        </w:rPr>
        <w:t>“经济要稳住、发展要安全”要求，</w:t>
      </w:r>
      <w:r>
        <w:rPr>
          <w:rFonts w:hint="eastAsia" w:ascii="仿宋" w:hAnsi="仿宋" w:eastAsia="仿宋" w:cs="Times New Roman"/>
          <w:sz w:val="32"/>
          <w:szCs w:val="32"/>
        </w:rPr>
        <w:t>积极</w:t>
      </w:r>
      <w:r>
        <w:rPr>
          <w:rFonts w:ascii="仿宋" w:hAnsi="仿宋" w:eastAsia="仿宋" w:cs="Times New Roman"/>
          <w:sz w:val="32"/>
          <w:szCs w:val="32"/>
        </w:rPr>
        <w:t>建设社会主义和中国式现代化伟大任务，</w:t>
      </w:r>
      <w:r>
        <w:rPr>
          <w:rFonts w:hint="eastAsia" w:ascii="仿宋" w:hAnsi="仿宋" w:eastAsia="仿宋" w:cs="Times New Roman"/>
          <w:sz w:val="32"/>
          <w:szCs w:val="32"/>
        </w:rPr>
        <w:t>体现在</w:t>
      </w:r>
      <w:r>
        <w:rPr>
          <w:rFonts w:ascii="仿宋" w:hAnsi="仿宋" w:eastAsia="仿宋" w:cs="Times New Roman"/>
          <w:sz w:val="32"/>
          <w:szCs w:val="32"/>
        </w:rPr>
        <w:t>大至发展战略、小至银行家群体的个体工作支持</w:t>
      </w:r>
      <w:r>
        <w:rPr>
          <w:rFonts w:hint="eastAsia" w:ascii="仿宋" w:hAnsi="仿宋" w:eastAsia="仿宋" w:cs="Times New Roman"/>
          <w:sz w:val="32"/>
          <w:szCs w:val="32"/>
        </w:rPr>
        <w:t>等方方面面的工作中</w:t>
      </w:r>
      <w:r>
        <w:rPr>
          <w:rFonts w:ascii="仿宋" w:hAnsi="仿宋" w:eastAsia="仿宋" w:cs="Times New Roman"/>
          <w:sz w:val="32"/>
          <w:szCs w:val="32"/>
        </w:rPr>
        <w:t>。</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据巴曙松介绍，</w:t>
      </w:r>
      <w:r>
        <w:rPr>
          <w:rFonts w:hint="eastAsia" w:ascii="仿宋" w:hAnsi="仿宋" w:eastAsia="仿宋" w:cs="Times New Roman"/>
          <w:b/>
          <w:bCs/>
          <w:sz w:val="32"/>
          <w:szCs w:val="32"/>
        </w:rPr>
        <w:t>调查主要呈现五个特点：一是点面结合。</w:t>
      </w:r>
      <w:r>
        <w:rPr>
          <w:rFonts w:hint="eastAsia" w:ascii="仿宋" w:hAnsi="仿宋" w:eastAsia="仿宋" w:cs="Times New Roman"/>
          <w:sz w:val="32"/>
          <w:szCs w:val="32"/>
        </w:rPr>
        <w:t>由中国银行业协会负责组织面向银行家的问卷调查，由中国银行业协会首席经济学家巴曙松教授和课题组成员选择有代表性的金融机构进行重点调查。</w:t>
      </w:r>
      <w:r>
        <w:rPr>
          <w:rFonts w:hint="eastAsia" w:ascii="仿宋" w:hAnsi="仿宋" w:eastAsia="仿宋" w:cs="Times New Roman"/>
          <w:b/>
          <w:bCs/>
          <w:sz w:val="32"/>
          <w:szCs w:val="32"/>
        </w:rPr>
        <w:t>二是平行展开。</w:t>
      </w:r>
      <w:r>
        <w:rPr>
          <w:rFonts w:hint="eastAsia" w:ascii="仿宋" w:hAnsi="仿宋" w:eastAsia="仿宋" w:cs="Times New Roman"/>
          <w:sz w:val="32"/>
          <w:szCs w:val="32"/>
        </w:rPr>
        <w:t>在全国</w:t>
      </w:r>
      <w:r>
        <w:rPr>
          <w:rFonts w:ascii="仿宋" w:hAnsi="仿宋" w:eastAsia="仿宋" w:cs="Times New Roman"/>
          <w:sz w:val="32"/>
          <w:szCs w:val="32"/>
        </w:rPr>
        <w:t>31个省级行政区域（不包括港澳台）平行展开调查，基本覆盖了各类银行业机构，全面保证了工作高质量。</w:t>
      </w:r>
      <w:r>
        <w:rPr>
          <w:rFonts w:ascii="仿宋" w:hAnsi="仿宋" w:eastAsia="仿宋" w:cs="Times New Roman"/>
          <w:b/>
          <w:bCs/>
          <w:sz w:val="32"/>
          <w:szCs w:val="32"/>
        </w:rPr>
        <w:t>三是形式多样。</w:t>
      </w:r>
      <w:r>
        <w:rPr>
          <w:rFonts w:ascii="仿宋" w:hAnsi="仿宋" w:eastAsia="仿宋" w:cs="Times New Roman"/>
          <w:sz w:val="32"/>
          <w:szCs w:val="32"/>
        </w:rPr>
        <w:t>调查不仅有面向银行家的电子问卷调查，还有多种形式的调研访谈。</w:t>
      </w:r>
      <w:r>
        <w:rPr>
          <w:rFonts w:ascii="仿宋" w:hAnsi="仿宋" w:eastAsia="仿宋" w:cs="Times New Roman"/>
          <w:b/>
          <w:bCs/>
          <w:sz w:val="32"/>
          <w:szCs w:val="32"/>
        </w:rPr>
        <w:t>四是针对性强。</w:t>
      </w:r>
      <w:r>
        <w:rPr>
          <w:rFonts w:ascii="仿宋" w:hAnsi="仿宋" w:eastAsia="仿宋" w:cs="Times New Roman"/>
          <w:sz w:val="32"/>
          <w:szCs w:val="32"/>
        </w:rPr>
        <w:t>调查紧跟国内外经济发展形势，着重对行业热点、重点、难点问题进行有针对性的专题调研。</w:t>
      </w:r>
      <w:r>
        <w:rPr>
          <w:rFonts w:ascii="仿宋" w:hAnsi="仿宋" w:eastAsia="仿宋" w:cs="Times New Roman"/>
          <w:b/>
          <w:bCs/>
          <w:sz w:val="32"/>
          <w:szCs w:val="32"/>
        </w:rPr>
        <w:t>五是内容详实。</w:t>
      </w:r>
      <w:r>
        <w:rPr>
          <w:rFonts w:ascii="仿宋" w:hAnsi="仿宋" w:eastAsia="仿宋" w:cs="Times New Roman"/>
          <w:sz w:val="32"/>
          <w:szCs w:val="32"/>
        </w:rPr>
        <w:t>通过长达十个月有序工作，共回收有效问卷1989份，获取了大量真实、准确、有价值的信息。</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巴曙松表示，《报告》共涵盖十一个部分，包括宏观环境、发展战略、业务发展、风险内控与营运管理、金融科技、公司治理与社会责任、监管评价、发展前瞻、银行家群体、同业评议和专题篇。其中，专题篇针对银行业助力经济稳增长、服务专精特新“小巨人”企业、资产管理、坚守风控底线守正创新、中小银行风险治理等五个银行业关注的热点问题进行调研和访谈。</w:t>
      </w:r>
    </w:p>
    <w:p>
      <w:pPr>
        <w:pStyle w:val="2"/>
        <w:ind w:firstLine="643" w:firstLineChars="200"/>
        <w:rPr>
          <w:rFonts w:ascii="仿宋_GB2312" w:hAnsi="仿宋_GB2312" w:eastAsia="仿宋_GB2312" w:cs="仿宋_GB2312"/>
          <w:b w:val="0"/>
        </w:rPr>
      </w:pPr>
      <w:r>
        <w:rPr>
          <w:rFonts w:hint="eastAsia" w:ascii="仿宋_GB2312" w:hAnsi="仿宋_GB2312" w:eastAsia="仿宋_GB2312" w:cs="仿宋_GB2312"/>
        </w:rPr>
        <w:t>一、银行家最关注金融监管</w:t>
      </w:r>
      <w:r>
        <w:rPr>
          <w:rFonts w:hint="eastAsia"/>
        </w:rPr>
        <w:t>政策</w:t>
      </w:r>
      <w:r>
        <w:rPr>
          <w:rFonts w:hint="eastAsia" w:ascii="仿宋_GB2312" w:hAnsi="仿宋_GB2312" w:eastAsia="仿宋_GB2312" w:cs="仿宋_GB2312"/>
        </w:rPr>
        <w:t>和提高我国对外开放水平的措施</w:t>
      </w:r>
    </w:p>
    <w:p>
      <w:pPr>
        <w:pStyle w:val="3"/>
        <w:spacing w:line="240" w:lineRule="auto"/>
        <w:rPr>
          <w:rFonts w:ascii="宋体" w:hAnsi="宋体" w:cs="仿宋_GB2312"/>
          <w:color w:val="000000"/>
          <w:sz w:val="28"/>
          <w:szCs w:val="28"/>
        </w:rPr>
      </w:pPr>
      <w:r>
        <w:rPr>
          <w:rFonts w:hint="eastAsia" w:ascii="仿宋_GB2312" w:hAnsi="仿宋_GB2312" w:eastAsia="仿宋_GB2312" w:cs="仿宋_GB2312"/>
        </w:rPr>
        <w:t>银行家对未来经济平稳运行持积极乐观态度，密切关注全球疫情尚未结束的背景下中国经济复苏进程以及全球通胀问题。在日常经营管理中，金融监管政策仍是银行家最为关注的外部环境因素。银行家对民生政策的效果评价最高。银行家认为美欧主要国家竞争性加息增加了人民币贬值压力，而货币政策关键在于增强流动性管理的灵活性和有效性。此外，近半数银行家预期未来一二线城市房地产市场销量有望企稳。近半数银行家认为打造市场化法治化国际化营商环境是提高我国对外开放水平最有力的措施。</w:t>
      </w:r>
    </w:p>
    <w:p>
      <w:pPr>
        <w:pStyle w:val="2"/>
        <w:ind w:firstLine="643" w:firstLineChars="200"/>
        <w:rPr>
          <w:rFonts w:ascii="仿宋_GB2312" w:hAnsi="仿宋_GB2312" w:eastAsia="仿宋_GB2312" w:cs="仿宋_GB2312"/>
          <w:b w:val="0"/>
        </w:rPr>
      </w:pPr>
      <w:r>
        <w:rPr>
          <w:rFonts w:hint="eastAsia" w:ascii="仿宋_GB2312" w:hAnsi="仿宋_GB2312" w:eastAsia="仿宋_GB2312" w:cs="仿宋_GB2312"/>
        </w:rPr>
        <w:t>二、数字化智能化转型成为银行业新的利润增长点</w:t>
      </w:r>
    </w:p>
    <w:p>
      <w:pPr>
        <w:pStyle w:val="3"/>
        <w:spacing w:line="240" w:lineRule="auto"/>
      </w:pPr>
      <w:r>
        <w:rPr>
          <w:rFonts w:hint="eastAsia" w:ascii="仿宋_GB2312" w:hAnsi="仿宋_GB2312" w:eastAsia="仿宋_GB2312" w:cs="仿宋_GB2312"/>
        </w:rPr>
        <w:t>随着党的二十大胜利召开，作为全面贯彻党的二十大精神的开局之年，开局关乎全局，中国银行业的发展战略也出现了新的变化。信贷需求减弱跃升成为商业银行主要经营压力，数字化智能化转型成为银行业新的利润增长点，科学制定实施数字化转型战略成为下一步数字化转型的首要重点。同时，增强战略调整时效性依然是战略管理首要考虑的问题。小微企业客户依然是受访银行家最为关注的客户类型。新型农业经营主体对信贷资金支持、农业经济风险管理的需求突出，成为银行家支持乡村振兴战略中重点关注的领域。特色化经营成为银行业实现高质量发展的主要途径，国际化发展仍为银行业的主流趋势。</w:t>
      </w:r>
    </w:p>
    <w:p>
      <w:pPr>
        <w:pStyle w:val="2"/>
        <w:ind w:firstLine="643" w:firstLineChars="200"/>
      </w:pPr>
      <w:r>
        <w:rPr>
          <w:rFonts w:hint="eastAsia"/>
        </w:rPr>
        <w:t>三、</w:t>
      </w:r>
      <w:r>
        <w:t>银行信贷投放结构持续优化</w:t>
      </w:r>
      <w:r>
        <w:rPr>
          <w:rFonts w:hint="eastAsia"/>
        </w:rPr>
        <w:t>，持续贯彻落实普惠金融政策</w:t>
      </w:r>
    </w:p>
    <w:p>
      <w:pPr>
        <w:ind w:firstLine="640" w:firstLineChars="200"/>
        <w:rPr>
          <w:rFonts w:ascii="Times New Roman" w:hAnsi="Times New Roman" w:eastAsia="仿宋"/>
          <w:sz w:val="32"/>
          <w:szCs w:val="32"/>
        </w:rPr>
      </w:pPr>
      <w:r>
        <w:rPr>
          <w:rFonts w:ascii="Times New Roman" w:hAnsi="Times New Roman" w:eastAsia="仿宋"/>
          <w:sz w:val="32"/>
          <w:szCs w:val="32"/>
        </w:rPr>
        <w:t>2022年，银行业以服务实体经济为根本，加大金融资源对国民经济重点领域和薄弱环节的支持力度，银行信贷投放结构持续优化。</w:t>
      </w:r>
      <w:r>
        <w:rPr>
          <w:rFonts w:hint="eastAsia" w:ascii="Times New Roman" w:hAnsi="Times New Roman" w:eastAsia="仿宋"/>
          <w:b/>
          <w:bCs/>
          <w:sz w:val="32"/>
          <w:szCs w:val="32"/>
        </w:rPr>
        <w:t>一方面，</w:t>
      </w:r>
      <w:r>
        <w:rPr>
          <w:rFonts w:hint="eastAsia" w:ascii="Times New Roman" w:hAnsi="Times New Roman" w:eastAsia="仿宋"/>
          <w:sz w:val="32"/>
          <w:szCs w:val="32"/>
        </w:rPr>
        <w:t>银行业积极践行绿色发展理念，引导社会资源投向改善能源结构、降低能源能耗的领域。调查结果显示，受访银行家对电力燃气业（含光伏）等绿色行业支持比例显著增长，对冶金业、造纸业、石油化工业等高耗能行业信贷投放严格控制。</w:t>
      </w:r>
      <w:r>
        <w:rPr>
          <w:rFonts w:hint="eastAsia" w:ascii="Times New Roman" w:hAnsi="Times New Roman" w:eastAsia="仿宋"/>
          <w:b/>
          <w:bCs/>
          <w:sz w:val="32"/>
          <w:szCs w:val="32"/>
        </w:rPr>
        <w:t>另一方面，</w:t>
      </w:r>
      <w:r>
        <w:rPr>
          <w:rFonts w:hint="eastAsia" w:ascii="Times New Roman" w:hAnsi="Times New Roman" w:eastAsia="仿宋"/>
          <w:sz w:val="32"/>
          <w:szCs w:val="32"/>
        </w:rPr>
        <w:t>银行业持续贯彻落实普惠金融政策，超七成受访的银行家将普惠金融作为支持实体经济发展的重点领域，加大普惠领域重点贷款投放力度。</w:t>
      </w:r>
    </w:p>
    <w:p>
      <w:pPr>
        <w:pStyle w:val="2"/>
        <w:ind w:firstLine="643" w:firstLineChars="200"/>
      </w:pPr>
      <w:r>
        <w:rPr>
          <w:rFonts w:hint="eastAsia"/>
        </w:rPr>
        <w:t>四、流动性风险管理能力提升，银行家对未来三年员工数量增长保持乐观，不同类型银行分化明显</w:t>
      </w:r>
    </w:p>
    <w:p>
      <w:pPr>
        <w:ind w:firstLine="640" w:firstLineChars="200"/>
        <w:rPr>
          <w:rFonts w:ascii="Times New Roman" w:hAnsi="Times New Roman" w:eastAsia="仿宋"/>
          <w:sz w:val="32"/>
          <w:szCs w:val="32"/>
        </w:rPr>
      </w:pPr>
      <w:r>
        <w:rPr>
          <w:rFonts w:ascii="Times New Roman" w:hAnsi="Times New Roman" w:eastAsia="仿宋"/>
          <w:sz w:val="32"/>
          <w:szCs w:val="32"/>
        </w:rPr>
        <w:t>2022年，面对复杂的国际环境和疫情反复冲击的内外部形势，中国银行业经营环境日益复杂，银行业风险内控与中后台营运管理备受银行家关注。银行业对风险管理重视度普遍加强，信用风险关注度仍居首位，流动性风险管理能力满意度进一步提升。在内部控制方面，银行家倾向于加强内控文化与组织体系建设，着力构建内控管理长效机制。</w:t>
      </w:r>
    </w:p>
    <w:p>
      <w:pPr>
        <w:ind w:firstLine="640" w:firstLineChars="200"/>
        <w:rPr>
          <w:rFonts w:ascii="Times New Roman" w:hAnsi="Times New Roman" w:eastAsia="仿宋"/>
          <w:sz w:val="32"/>
          <w:szCs w:val="32"/>
        </w:rPr>
      </w:pPr>
      <w:r>
        <w:rPr>
          <w:rFonts w:hint="eastAsia" w:ascii="Times New Roman" w:hAnsi="Times New Roman" w:eastAsia="仿宋"/>
          <w:sz w:val="32"/>
          <w:szCs w:val="32"/>
        </w:rPr>
        <w:t>此外，过去几年，银行家对银行业员工数量增长预期经历了快速增长、维持现状、放缓后持续回升的周期性波动。</w:t>
      </w:r>
      <w:r>
        <w:rPr>
          <w:rFonts w:ascii="Times New Roman" w:hAnsi="Times New Roman" w:eastAsia="仿宋"/>
          <w:sz w:val="32"/>
          <w:szCs w:val="32"/>
        </w:rPr>
        <w:t>2022年银行家对未来三年员工数量增长保持乐观，但不同类型银行存在明显分化。结合党的二十大对经济金融工作</w:t>
      </w:r>
      <w:r>
        <w:rPr>
          <w:rFonts w:hint="eastAsia" w:ascii="Times New Roman" w:hAnsi="Times New Roman" w:eastAsia="仿宋"/>
          <w:sz w:val="32"/>
          <w:szCs w:val="32"/>
        </w:rPr>
        <w:t>做出</w:t>
      </w:r>
      <w:r>
        <w:rPr>
          <w:rFonts w:ascii="Times New Roman" w:hAnsi="Times New Roman" w:eastAsia="仿宋"/>
          <w:sz w:val="32"/>
          <w:szCs w:val="32"/>
        </w:rPr>
        <w:t>的新部署、提出的新要求，银行家认为将进一步加大信贷投放力度，为实体经济高质量发展注入金融“活水”。</w:t>
      </w:r>
    </w:p>
    <w:p>
      <w:pPr>
        <w:pStyle w:val="2"/>
        <w:ind w:firstLine="643" w:firstLineChars="200"/>
      </w:pPr>
      <w:r>
        <w:rPr>
          <w:rFonts w:hint="eastAsia"/>
        </w:rPr>
        <w:t>五、金融科技主抓数据及科技两大能力建设，敏捷化创新体系以任务型团队推进</w:t>
      </w:r>
    </w:p>
    <w:p>
      <w:pPr>
        <w:ind w:firstLine="640" w:firstLineChars="200"/>
        <w:rPr>
          <w:rFonts w:ascii="Times New Roman" w:hAnsi="Times New Roman" w:eastAsia="仿宋"/>
          <w:sz w:val="32"/>
          <w:szCs w:val="32"/>
        </w:rPr>
      </w:pPr>
      <w:r>
        <w:rPr>
          <w:rFonts w:ascii="Times New Roman" w:hAnsi="Times New Roman" w:eastAsia="仿宋"/>
          <w:sz w:val="32"/>
          <w:szCs w:val="32"/>
        </w:rPr>
        <w:t>2022年初监管机构先后出台《金融科技发展规划(2022-2025年)》和《关于银行业保险业数字化转型的指导意见》，指明了银行数字化转型的方向。在2023年全国两会提出的科技自强背景下，金融业数字化转型也应是一项重要命题。调查结果显示，银行家认为中国银行业正积极探索和实践数字化转型。2022年一些老特征延续：大数据技术继续成为银行家首要关注点，场景金融仍然最受金融科技应用青睐。一些新特点凸显：首先，银行业对金融科技财务投入和人力投入相较2021年略有下降，其数据呈现冲高回落态势；其次，跨职能、跨部门、跨条线</w:t>
      </w:r>
      <w:r>
        <w:rPr>
          <w:rFonts w:hint="eastAsia" w:ascii="Times New Roman" w:hAnsi="Times New Roman" w:eastAsia="仿宋"/>
          <w:sz w:val="32"/>
          <w:szCs w:val="32"/>
        </w:rPr>
        <w:t>的任务型团队被认为是打造敏捷化创新体系的关键；第三，外包集中度风险、供应链风险等跃居银行与三方科技公司合作时的首要考虑因素；第四，提高模型开发能力、明确商业模式等是探索开放银行的主要挑战。</w:t>
      </w:r>
    </w:p>
    <w:p>
      <w:pPr>
        <w:pStyle w:val="2"/>
        <w:ind w:firstLine="643" w:firstLineChars="200"/>
      </w:pPr>
      <w:r>
        <w:rPr>
          <w:rFonts w:hint="eastAsia"/>
        </w:rPr>
        <w:t>六、中国银行业保持较高公司治理水平，党的领导与公司治理有机融合持续深化</w:t>
      </w:r>
    </w:p>
    <w:p>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调查显示，</w:t>
      </w:r>
      <w:r>
        <w:rPr>
          <w:rFonts w:ascii="Times New Roman" w:hAnsi="Times New Roman" w:eastAsia="仿宋" w:cs="Times New Roman"/>
          <w:sz w:val="32"/>
          <w:szCs w:val="32"/>
        </w:rPr>
        <w:t>2022年银行家对中国银行业公司治理成效的综合评价持续处于较高水平。其中，党的领导连续三年来评价最高，反映出中国银行业党的领导与公司治理有机融合持续深化。此外，分别有34.3%、32.1%和29.9%的银行家认为中国银行业的风险管理体系、两会一层运作模式及股东行为监管仍需进一步改善。</w:t>
      </w:r>
    </w:p>
    <w:p>
      <w:pPr>
        <w:pStyle w:val="2"/>
        <w:ind w:firstLine="643" w:firstLineChars="200"/>
      </w:pPr>
      <w:r>
        <w:rPr>
          <w:rFonts w:hint="eastAsia"/>
        </w:rPr>
        <w:t>七、银行家对监管指标体系评价较高，认可银行业监管取得突出成就</w:t>
      </w:r>
    </w:p>
    <w:p>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过去的一年，银行业受到疫情反复、国际政治局势等多因素扰动，但监管层始终保持定力，防范化解重大金融风险，积极应对复杂多变的经济金融环境。银行家对于监管指标、手段及各项举措整体评价较高。监管层持续完善监管制度框架、提高依法监管能力和水平，银行家认为内部控制和风险管理方面监管制度建设成效显著。与此同时，经过一年的内控合规整治，超半数银行家认为银行业内控组织架构及问责制度得到完善。</w:t>
      </w:r>
    </w:p>
    <w:p>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总结党的十九大以来银行业监管取得的突出成就，监管层推进防范化解金融风险长效机制逐步夯实，推动银行业服务实体经济质效显著提升，银行家对此给予高度评价。同时，银行家充分肯定监管层在推动银行业发展普惠小微、民营企业金融服务、乡村振兴金融服务等方面发挥的重要作用。</w:t>
      </w:r>
    </w:p>
    <w:p>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巴曙松表示，中国银行业协会将继续开展本项目的研究工作、尤其是做好十五周年的守正创新，对中国银行家进行更加深入的跟踪调查、让社会各界人士能够通过中国银行家持续了解中国银行业的发展动向。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NDhjYjY0N2IyY2ZiNjBmZjBhM2M5Y2JiZTJmMWYifQ=="/>
  </w:docVars>
  <w:rsids>
    <w:rsidRoot w:val="00DD232C"/>
    <w:rsid w:val="00001380"/>
    <w:rsid w:val="000209C7"/>
    <w:rsid w:val="000745E7"/>
    <w:rsid w:val="000C5C7F"/>
    <w:rsid w:val="001128B6"/>
    <w:rsid w:val="00120ABC"/>
    <w:rsid w:val="00164344"/>
    <w:rsid w:val="001648F5"/>
    <w:rsid w:val="00196A7B"/>
    <w:rsid w:val="001A04B1"/>
    <w:rsid w:val="001A37FE"/>
    <w:rsid w:val="001A42F1"/>
    <w:rsid w:val="001C6AC7"/>
    <w:rsid w:val="001E7861"/>
    <w:rsid w:val="00215BDB"/>
    <w:rsid w:val="00230621"/>
    <w:rsid w:val="00285B0C"/>
    <w:rsid w:val="00286669"/>
    <w:rsid w:val="002B7483"/>
    <w:rsid w:val="002D168D"/>
    <w:rsid w:val="00306131"/>
    <w:rsid w:val="003113FA"/>
    <w:rsid w:val="003627AE"/>
    <w:rsid w:val="00370120"/>
    <w:rsid w:val="00392934"/>
    <w:rsid w:val="003D18BC"/>
    <w:rsid w:val="003D523E"/>
    <w:rsid w:val="00404F97"/>
    <w:rsid w:val="00411CAB"/>
    <w:rsid w:val="00433C60"/>
    <w:rsid w:val="00442E6C"/>
    <w:rsid w:val="00447712"/>
    <w:rsid w:val="00450257"/>
    <w:rsid w:val="004536E8"/>
    <w:rsid w:val="0045696F"/>
    <w:rsid w:val="00460868"/>
    <w:rsid w:val="004748BC"/>
    <w:rsid w:val="004957B9"/>
    <w:rsid w:val="004A780C"/>
    <w:rsid w:val="004C5656"/>
    <w:rsid w:val="004D2A97"/>
    <w:rsid w:val="004D7403"/>
    <w:rsid w:val="004F185E"/>
    <w:rsid w:val="00572FD8"/>
    <w:rsid w:val="005A70AA"/>
    <w:rsid w:val="005A7B46"/>
    <w:rsid w:val="005D11C6"/>
    <w:rsid w:val="00647F0B"/>
    <w:rsid w:val="0065026B"/>
    <w:rsid w:val="00662208"/>
    <w:rsid w:val="0067356C"/>
    <w:rsid w:val="006777A0"/>
    <w:rsid w:val="00677CF3"/>
    <w:rsid w:val="00683F31"/>
    <w:rsid w:val="006B0F5D"/>
    <w:rsid w:val="006D089B"/>
    <w:rsid w:val="00712080"/>
    <w:rsid w:val="00721BED"/>
    <w:rsid w:val="00732772"/>
    <w:rsid w:val="00746C15"/>
    <w:rsid w:val="00751B49"/>
    <w:rsid w:val="007730F6"/>
    <w:rsid w:val="00780D25"/>
    <w:rsid w:val="007A0C05"/>
    <w:rsid w:val="007F3BB4"/>
    <w:rsid w:val="00825E10"/>
    <w:rsid w:val="00853CFB"/>
    <w:rsid w:val="00854343"/>
    <w:rsid w:val="008553EC"/>
    <w:rsid w:val="0088599D"/>
    <w:rsid w:val="00892E12"/>
    <w:rsid w:val="008A61B4"/>
    <w:rsid w:val="008A6423"/>
    <w:rsid w:val="008F39D1"/>
    <w:rsid w:val="00926D7F"/>
    <w:rsid w:val="009271E6"/>
    <w:rsid w:val="00934998"/>
    <w:rsid w:val="00962BB0"/>
    <w:rsid w:val="009631A6"/>
    <w:rsid w:val="00986D72"/>
    <w:rsid w:val="00990AF8"/>
    <w:rsid w:val="009A19A6"/>
    <w:rsid w:val="009A528B"/>
    <w:rsid w:val="009B4354"/>
    <w:rsid w:val="00A01C7A"/>
    <w:rsid w:val="00A1000A"/>
    <w:rsid w:val="00A23D06"/>
    <w:rsid w:val="00A3582A"/>
    <w:rsid w:val="00A637E6"/>
    <w:rsid w:val="00A65236"/>
    <w:rsid w:val="00A70256"/>
    <w:rsid w:val="00A755C0"/>
    <w:rsid w:val="00AD5C77"/>
    <w:rsid w:val="00AE50DC"/>
    <w:rsid w:val="00B30C57"/>
    <w:rsid w:val="00B71374"/>
    <w:rsid w:val="00B811D2"/>
    <w:rsid w:val="00B9295C"/>
    <w:rsid w:val="00C04807"/>
    <w:rsid w:val="00C15538"/>
    <w:rsid w:val="00C31DC2"/>
    <w:rsid w:val="00C67C59"/>
    <w:rsid w:val="00C73A5E"/>
    <w:rsid w:val="00CC5974"/>
    <w:rsid w:val="00D10869"/>
    <w:rsid w:val="00D56001"/>
    <w:rsid w:val="00D64C82"/>
    <w:rsid w:val="00D65A74"/>
    <w:rsid w:val="00D77C42"/>
    <w:rsid w:val="00D855BD"/>
    <w:rsid w:val="00DB56AF"/>
    <w:rsid w:val="00DD232C"/>
    <w:rsid w:val="00DF5A62"/>
    <w:rsid w:val="00E4551E"/>
    <w:rsid w:val="00E67678"/>
    <w:rsid w:val="00E73759"/>
    <w:rsid w:val="00E81478"/>
    <w:rsid w:val="00E87CA4"/>
    <w:rsid w:val="00EA47F2"/>
    <w:rsid w:val="00ED4874"/>
    <w:rsid w:val="00ED635B"/>
    <w:rsid w:val="00EE3CFE"/>
    <w:rsid w:val="00F0029A"/>
    <w:rsid w:val="00F07F50"/>
    <w:rsid w:val="00F412D1"/>
    <w:rsid w:val="00F64B2C"/>
    <w:rsid w:val="00F97C79"/>
    <w:rsid w:val="02D80C17"/>
    <w:rsid w:val="2755227C"/>
    <w:rsid w:val="2A380881"/>
    <w:rsid w:val="3BAF3247"/>
    <w:rsid w:val="487F23DA"/>
    <w:rsid w:val="5194224E"/>
    <w:rsid w:val="78DA0C46"/>
    <w:rsid w:val="7EB5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link w:val="12"/>
    <w:qFormat/>
    <w:uiPriority w:val="9"/>
    <w:pPr>
      <w:outlineLvl w:val="0"/>
    </w:pPr>
    <w:rPr>
      <w:rFonts w:ascii="仿宋" w:hAnsi="仿宋" w:eastAsia="仿宋" w:cs="Times New Roman"/>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0"/>
    <w:qFormat/>
    <w:uiPriority w:val="0"/>
    <w:pPr>
      <w:spacing w:line="360" w:lineRule="auto"/>
      <w:ind w:firstLine="640" w:firstLineChars="200"/>
    </w:pPr>
    <w:rPr>
      <w:rFonts w:hAnsi="Courier New" w:cs="Courier New" w:asciiTheme="minorEastAsia" w:eastAsiaTheme="minorEastAsia"/>
      <w:sz w:val="32"/>
      <w:szCs w:val="32"/>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纯文本 字符"/>
    <w:basedOn w:val="7"/>
    <w:link w:val="3"/>
    <w:qFormat/>
    <w:uiPriority w:val="0"/>
    <w:rPr>
      <w:rFonts w:hAnsi="Courier New" w:cs="Courier New" w:asciiTheme="minorEastAsia"/>
      <w:kern w:val="2"/>
      <w:sz w:val="32"/>
      <w:szCs w:val="32"/>
    </w:rPr>
  </w:style>
  <w:style w:type="paragraph" w:styleId="11">
    <w:name w:val="List Paragraph"/>
    <w:basedOn w:val="1"/>
    <w:qFormat/>
    <w:uiPriority w:val="99"/>
    <w:pPr>
      <w:ind w:firstLine="420" w:firstLineChars="200"/>
    </w:pPr>
  </w:style>
  <w:style w:type="character" w:customStyle="1" w:styleId="12">
    <w:name w:val="标题 1 字符"/>
    <w:basedOn w:val="7"/>
    <w:link w:val="2"/>
    <w:qFormat/>
    <w:uiPriority w:val="9"/>
    <w:rPr>
      <w:rFonts w:ascii="仿宋" w:hAnsi="仿宋" w:eastAsia="仿宋" w:cs="Times New Roman"/>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2904</Words>
  <Characters>2962</Characters>
  <Lines>1</Lines>
  <Paragraphs>5</Paragraphs>
  <TotalTime>31</TotalTime>
  <ScaleCrop>false</ScaleCrop>
  <LinksUpToDate>false</LinksUpToDate>
  <CharactersWithSpaces>2962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2020-02-21T01:07:00Z</dcterms:created>
  <dc:creator>陈 晋元</dc:creator>
  <cp:lastModifiedBy>秦</cp:lastModifiedBy>
  <cp:lastPrinted>2023-03-24T07:11:00Z</cp:lastPrinted>
  <dcterms:modified xsi:type="dcterms:W3CDTF">2023-03-29T08:17:37Z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FC2735A6E4754D33B257B1AE3DBA7DE2</vt:lpwstr>
  </property>
</Properties>
</file>