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宋体" w:eastAsia="仿宋_GB2312"/>
          <w:color w:val="000000"/>
          <w:sz w:val="32"/>
          <w:szCs w:val="32"/>
        </w:rPr>
      </w:pPr>
      <w:r>
        <w:rPr>
          <w:rFonts w:hint="eastAsia" w:ascii="仿宋_GB2312" w:hAnsi="宋体" w:eastAsia="仿宋_GB2312"/>
          <w:color w:val="000000"/>
          <w:sz w:val="32"/>
          <w:szCs w:val="32"/>
        </w:rPr>
        <w:t>附件</w:t>
      </w:r>
    </w:p>
    <w:p>
      <w:pPr>
        <w:spacing w:line="600" w:lineRule="exact"/>
        <w:rPr>
          <w:rFonts w:ascii="仿宋_GB2312" w:hAnsi="宋体" w:eastAsia="仿宋_GB2312"/>
          <w:color w:val="000000"/>
          <w:sz w:val="32"/>
          <w:szCs w:val="32"/>
        </w:rPr>
      </w:pPr>
    </w:p>
    <w:p>
      <w:pPr>
        <w:spacing w:line="600" w:lineRule="exact"/>
        <w:contextualSpacing/>
        <w:jc w:val="center"/>
        <w:outlineLvl w:val="0"/>
        <w:rPr>
          <w:rFonts w:ascii="宋体" w:hAnsi="宋体"/>
          <w:b/>
          <w:color w:val="000000"/>
          <w:kern w:val="0"/>
          <w:sz w:val="36"/>
          <w:szCs w:val="36"/>
          <w:lang w:val="zh-CN"/>
        </w:rPr>
      </w:pPr>
      <w:bookmarkStart w:id="0" w:name="_GoBack"/>
      <w:r>
        <w:rPr>
          <w:rFonts w:ascii="宋体" w:hAnsi="宋体"/>
          <w:b/>
          <w:color w:val="000000"/>
          <w:kern w:val="0"/>
          <w:sz w:val="36"/>
          <w:szCs w:val="36"/>
          <w:lang w:val="zh-CN"/>
        </w:rPr>
        <w:fldChar w:fldCharType="begin"/>
      </w:r>
      <w:r>
        <w:rPr>
          <w:rFonts w:ascii="宋体" w:hAnsi="宋体"/>
          <w:b/>
          <w:color w:val="000000"/>
          <w:kern w:val="0"/>
          <w:sz w:val="36"/>
          <w:szCs w:val="36"/>
          <w:lang w:val="zh-CN"/>
        </w:rPr>
        <w:instrText xml:space="preserve"> HYPERLINK "https://www.china-cba.net/Uploads/ueditor/file/20220728/62e23862a0023.docx" \o "2022年上半年银行业专业人员职业资格证书申领须知.docx"</w:instrText>
      </w:r>
      <w:r>
        <w:rPr>
          <w:rFonts w:ascii="宋体" w:hAnsi="宋体"/>
          <w:b/>
          <w:color w:val="000000"/>
          <w:kern w:val="0"/>
          <w:sz w:val="36"/>
          <w:szCs w:val="36"/>
          <w:lang w:val="zh-CN"/>
        </w:rPr>
        <w:fldChar w:fldCharType="separate"/>
      </w:r>
      <w:r>
        <w:rPr>
          <w:rFonts w:ascii="宋体" w:hAnsi="宋体"/>
          <w:b/>
          <w:color w:val="000000"/>
          <w:kern w:val="0"/>
          <w:sz w:val="36"/>
          <w:szCs w:val="36"/>
          <w:lang w:val="zh-CN"/>
        </w:rPr>
        <w:t>2024年上半年单独划线地区银行业专业人员</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职业资格证书申领须知</w:t>
      </w:r>
      <w:r>
        <w:rPr>
          <w:rFonts w:ascii="宋体" w:hAnsi="宋体"/>
          <w:b/>
          <w:color w:val="000000"/>
          <w:kern w:val="0"/>
          <w:sz w:val="36"/>
          <w:szCs w:val="36"/>
          <w:lang w:val="zh-CN"/>
        </w:rPr>
        <w:fldChar w:fldCharType="end"/>
      </w:r>
    </w:p>
    <w:bookmarkEnd w:id="0"/>
    <w:p>
      <w:pPr>
        <w:spacing w:line="600" w:lineRule="exact"/>
        <w:contextualSpacing/>
        <w:jc w:val="center"/>
        <w:outlineLvl w:val="0"/>
        <w:rPr>
          <w:rFonts w:ascii="Times New Roman" w:hAnsi="Times New Roman" w:eastAsia="黑体"/>
          <w:color w:val="000000"/>
          <w:kern w:val="0"/>
          <w:sz w:val="44"/>
          <w:szCs w:val="44"/>
          <w:lang w:val="zh-CN"/>
        </w:rPr>
      </w:pP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一、银行业专业人员初级和中级职业资格证书获得条件</w:t>
      </w:r>
    </w:p>
    <w:p>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次考试中，参加相应级别的《银行业法律法规与综合能力》科目和《银行业专业实务》科目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个专业类别的考试达到单独划线地区划定的合格标准，即可取得相应级别的银行业专业人员职业资格证书。对参加《银行业专业实务》科目其他专业类别考试并合格，将颁发相应级别的专业类考试合格证明。</w:t>
      </w:r>
    </w:p>
    <w:p>
      <w:pPr>
        <w:spacing w:line="600" w:lineRule="exact"/>
        <w:ind w:firstLine="640" w:firstLineChars="200"/>
        <w:contextualSpacing/>
        <w:rPr>
          <w:rFonts w:ascii="仿宋_GB2312" w:hAnsi="仿宋" w:eastAsia="黑体"/>
          <w:color w:val="000000"/>
          <w:kern w:val="0"/>
          <w:sz w:val="32"/>
          <w:szCs w:val="32"/>
        </w:rPr>
      </w:pPr>
      <w:r>
        <w:rPr>
          <w:rFonts w:hint="eastAsia" w:ascii="黑体" w:hAnsi="黑体" w:eastAsia="黑体"/>
          <w:color w:val="000000"/>
          <w:kern w:val="0"/>
          <w:sz w:val="32"/>
          <w:szCs w:val="32"/>
        </w:rPr>
        <w:t>二、银行业专业人员初级资格免试条件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符合《银行业专业人员职业资格制度暂行规定》有关银行业初级资格考试报名条件的人员，并具备下列一项条件的，可免试初级《银行业法律法规与综合能力》科目，只参加《银行业专业实务》科目中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三、银行业专业人员中级职业资格免试条件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符合《银行业专业人员中级职业资格考试实施办法》有关银行业中级资格考试报名条件的人员，并具备下列一项条件的，可免试中级《银行业法律法规与综合能力》科目，只参加《银行业专业实务》科目中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日前，按照中国银行业协会《中国银行业从业人员资格认证制度暂行规定》的要求，通过考试取得《中国银行业从业人员资格认证证书》，且累计从事相关工作满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四、申请时间</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微软雅黑" w:eastAsia="仿宋_GB2312" w:cs="Arial"/>
          <w:kern w:val="0"/>
          <w:sz w:val="32"/>
          <w:szCs w:val="32"/>
        </w:rPr>
        <w:t>2024年7月19日9:00至7月26日17:00</w:t>
      </w:r>
      <w:r>
        <w:rPr>
          <w:rFonts w:hint="eastAsia" w:ascii="仿宋_GB2312" w:hAnsi="Times New Roman" w:eastAsia="仿宋_GB2312"/>
          <w:color w:val="000000"/>
          <w:kern w:val="0"/>
          <w:sz w:val="32"/>
          <w:szCs w:val="32"/>
        </w:rPr>
        <w:t>。</w:t>
      </w:r>
    </w:p>
    <w:p>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五、申请方式</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六、申请及审核流程</w:t>
      </w:r>
    </w:p>
    <w:p>
      <w:pPr>
        <w:spacing w:line="240" w:lineRule="atLeast"/>
        <w:ind w:firstLine="420" w:firstLineChars="200"/>
        <w:contextualSpacing/>
        <w:rPr>
          <w:rFonts w:ascii="Times New Roman" w:hAnsi="Times New Roman"/>
        </w:rPr>
      </w:pPr>
      <w:r>
        <w:rPr>
          <w:rFonts w:ascii="Times New Roman" w:hAnsi="Times New Roman"/>
        </w:rPr>
        <w:drawing>
          <wp:inline distT="0" distB="0" distL="0" distR="0">
            <wp:extent cx="5189220" cy="6370955"/>
            <wp:effectExtent l="0" t="0" r="11430" b="10795"/>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370955"/>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七、证书审核时间</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微软雅黑" w:eastAsia="仿宋_GB2312" w:cs="Arial"/>
          <w:kern w:val="0"/>
          <w:sz w:val="32"/>
          <w:szCs w:val="32"/>
        </w:rPr>
        <w:t>2024年7月29日9:00至17:00</w:t>
      </w:r>
      <w:r>
        <w:rPr>
          <w:rFonts w:ascii="仿宋_GB2312" w:hAnsi="仿宋" w:eastAsia="仿宋_GB2312"/>
          <w:color w:val="000000"/>
          <w:kern w:val="0"/>
          <w:sz w:val="32"/>
          <w:szCs w:val="32"/>
        </w:rPr>
        <w:t>。</w:t>
      </w:r>
    </w:p>
    <w:p>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八、证书发放</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w:t>
      </w:r>
      <w:r>
        <w:rPr>
          <w:rFonts w:hint="eastAsia" w:ascii="仿宋_GB2312" w:hAnsi="宋体" w:eastAsia="仿宋_GB2312"/>
          <w:sz w:val="32"/>
          <w:szCs w:val="32"/>
        </w:rPr>
        <w:t>纸质</w:t>
      </w:r>
      <w:r>
        <w:rPr>
          <w:rFonts w:hint="eastAsia" w:ascii="仿宋_GB2312" w:hAnsi="仿宋" w:eastAsia="仿宋_GB2312"/>
          <w:color w:val="000000"/>
          <w:kern w:val="0"/>
          <w:sz w:val="32"/>
          <w:szCs w:val="32"/>
        </w:rPr>
        <w:t>版</w:t>
      </w:r>
      <w:r>
        <w:rPr>
          <w:rFonts w:hint="eastAsia" w:ascii="仿宋_GB2312" w:hAnsi="宋体" w:eastAsia="仿宋_GB2312"/>
          <w:sz w:val="32"/>
          <w:szCs w:val="32"/>
        </w:rPr>
        <w:t>证书制作、发放、签收等相关信息可在个人账户证书模块“我的证书”栏目查询。</w:t>
      </w:r>
      <w:r>
        <w:rPr>
          <w:rFonts w:hint="eastAsia" w:ascii="仿宋_GB2312" w:hAnsi="仿宋" w:eastAsia="仿宋_GB2312"/>
          <w:color w:val="000000"/>
          <w:kern w:val="0"/>
          <w:sz w:val="32"/>
          <w:szCs w:val="32"/>
        </w:rPr>
        <w:t>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”栏目进行查询、下载及打印</w:t>
      </w:r>
      <w:r>
        <w:rPr>
          <w:rFonts w:hint="eastAsia" w:ascii="仿宋_GB2312" w:hAnsi="仿宋" w:eastAsia="仿宋_GB2312"/>
          <w:color w:val="000000"/>
          <w:kern w:val="0"/>
          <w:sz w:val="32"/>
          <w:szCs w:val="32"/>
        </w:rPr>
        <w:t>。</w:t>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九、注意事项</w:t>
      </w:r>
    </w:p>
    <w:p>
      <w:pPr>
        <w:spacing w:line="600" w:lineRule="exact"/>
        <w:ind w:firstLine="800" w:firstLineChars="25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5"/>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”栏目进行下载并打印。电子证书与纸质证书具有同等法律效力。</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ind w:right="640" w:firstLine="4480" w:firstLineChars="1400"/>
        <w:contextualSpacing/>
        <w:rPr>
          <w:rFonts w:ascii="仿宋_GB2312" w:hAnsi="Times New Roman" w:eastAsia="仿宋_GB2312"/>
          <w:color w:val="000000"/>
          <w:kern w:val="0"/>
          <w:sz w:val="32"/>
          <w:szCs w:val="32"/>
        </w:rPr>
      </w:pPr>
    </w:p>
    <w:p>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pPr>
        <w:widowControl/>
        <w:spacing w:line="600" w:lineRule="exact"/>
        <w:ind w:firstLine="735"/>
        <w:contextualSpacing/>
        <w:jc w:val="right"/>
        <w:rPr>
          <w:rFonts w:ascii="仿宋_GB2312" w:hAnsi="Times New Roman" w:eastAsia="仿宋_GB2312"/>
          <w:b/>
          <w:bCs/>
          <w:color w:val="000000"/>
          <w:kern w:val="0"/>
          <w:sz w:val="36"/>
          <w:szCs w:val="36"/>
        </w:rPr>
      </w:pPr>
      <w:r>
        <w:rPr>
          <w:rFonts w:ascii="仿宋_GB2312" w:hAnsi="Times New Roman" w:eastAsia="仿宋_GB2312"/>
          <w:color w:val="000000"/>
          <w:kern w:val="0"/>
          <w:sz w:val="32"/>
          <w:szCs w:val="32"/>
        </w:rPr>
        <w:t>202</w:t>
      </w:r>
      <w:r>
        <w:rPr>
          <w:rFonts w:hint="eastAsia" w:ascii="仿宋_GB2312" w:hAnsi="Times New Roman" w:eastAsia="仿宋_GB2312"/>
          <w:color w:val="000000"/>
          <w:kern w:val="0"/>
          <w:sz w:val="32"/>
          <w:szCs w:val="32"/>
        </w:rPr>
        <w:t>4</w:t>
      </w:r>
      <w:r>
        <w:rPr>
          <w:rFonts w:hint="eastAsia" w:ascii="仿宋_GB2312" w:hAnsi="仿宋" w:eastAsia="仿宋_GB2312"/>
          <w:color w:val="000000"/>
          <w:kern w:val="0"/>
          <w:sz w:val="32"/>
          <w:szCs w:val="32"/>
        </w:rPr>
        <w:t>年</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16</w:t>
      </w:r>
      <w:r>
        <w:rPr>
          <w:rFonts w:hint="eastAsia" w:ascii="仿宋_GB2312" w:hAnsi="仿宋" w:eastAsia="仿宋_GB2312"/>
          <w:color w:val="000000"/>
          <w:kern w:val="0"/>
          <w:sz w:val="32"/>
          <w:szCs w:val="32"/>
        </w:rPr>
        <w:t>日</w:t>
      </w:r>
    </w:p>
    <w:p>
      <w:pPr>
        <w:spacing w:line="600" w:lineRule="exact"/>
        <w:rPr>
          <w:rFonts w:ascii="仿宋_GB2312" w:hAnsi="宋体" w:eastAsia="仿宋_GB2312"/>
          <w:color w:val="000000"/>
          <w:sz w:val="32"/>
          <w:szCs w:val="32"/>
        </w:rPr>
      </w:pP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GM3NWVlMjc3N2UyYTdkMTljZjFjNDk1OTdmZGQifQ=="/>
  </w:docVars>
  <w:rsids>
    <w:rsidRoot w:val="6A762894"/>
    <w:rsid w:val="49BF3D37"/>
    <w:rsid w:val="6A762894"/>
    <w:rsid w:val="7EBF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5">
    <w:name w:val="awspan"/>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2024-07-16T06:14:00Z</dcterms:created>
  <dc:creator>噫噓戯</dc:creator>
  <cp:lastModifiedBy>噫噓戯</cp:lastModifiedBy>
  <dcterms:modified xsi:type="dcterms:W3CDTF">2024-07-16T06:15:32Z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D0B3CECB6FBD4714A82B2B2A910ACDC1_11</vt:lpwstr>
  </property>
</Properties>
</file>