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87170" cy="474345"/>
                    </a:xfrm>
                    <a:prstGeom prst="rect">
                      <a:avLst/>
                    </a:prstGeom>
                    <a:noFill/>
                  </pic:spPr>
                </pic:pic>
              </a:graphicData>
            </a:graphic>
          </wp:anchor>
        </w:drawing>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5</w:t>
      </w:r>
      <w:r>
        <w:rPr>
          <w:rFonts w:hint="eastAsia" w:ascii="楷体" w:hAnsi="楷体" w:eastAsia="楷体" w:cs="楷体"/>
          <w:b/>
          <w:bCs/>
          <w:sz w:val="36"/>
          <w:szCs w:val="36"/>
        </w:rPr>
        <w:t>月）</w:t>
      </w:r>
    </w:p>
    <w:p>
      <w:pPr>
        <w:rPr>
          <w:rFonts w:ascii="楷体" w:hAnsi="楷体" w:eastAsia="楷体" w:cs="楷体"/>
          <w:b/>
          <w:bCs/>
          <w:sz w:val="28"/>
          <w:szCs w:val="28"/>
        </w:rPr>
      </w:pPr>
      <w:r>
        <w:rPr>
          <w:rFonts w:hint="eastAsia" w:ascii="楷体" w:hAnsi="楷体" w:eastAsia="楷体" w:cs="楷体"/>
          <w:b/>
          <w:bCs/>
          <w:sz w:val="28"/>
          <w:szCs w:val="28"/>
        </w:rPr>
        <w:br w:type="page"/>
      </w:r>
    </w:p>
    <w:p>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月份全国银行理财产品收益指数月报</w:t>
      </w:r>
    </w:p>
    <w:p>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——现金管理产品收益</w:t>
      </w:r>
      <w:r>
        <w:rPr>
          <w:rFonts w:hint="eastAsia" w:ascii="楷体" w:hAnsi="楷体" w:eastAsia="楷体" w:cs="楷体"/>
          <w:b/>
          <w:bCs/>
          <w:sz w:val="28"/>
          <w:szCs w:val="28"/>
          <w:highlight w:val="none"/>
          <w:lang w:val="en-US" w:eastAsia="zh-CN"/>
        </w:rPr>
        <w:t>下行至2.00%以下</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1.66</w:t>
      </w:r>
      <w:r>
        <w:rPr>
          <w:rFonts w:hint="eastAsia" w:ascii="楷体" w:hAnsi="楷体" w:eastAsia="楷体" w:cs="楷体"/>
          <w:b/>
          <w:bCs/>
          <w:sz w:val="28"/>
          <w:szCs w:val="28"/>
          <w:highlight w:val="none"/>
        </w:rPr>
        <w:t>%</w:t>
      </w:r>
    </w:p>
    <w:p>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下行至2.00%以下</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截至2024年5月，全国现金管理类产品月均七日年化收益率为1.98%，较上月环比下降14BP，较基期月均值下降91</w:t>
      </w:r>
      <w:bookmarkStart w:id="1" w:name="_GoBack"/>
      <w:bookmarkEnd w:id="1"/>
      <w:r>
        <w:rPr>
          <w:rFonts w:hint="eastAsia" w:ascii="楷体" w:hAnsi="楷体" w:eastAsia="楷体" w:cs="楷体"/>
          <w:sz w:val="24"/>
          <w:lang w:val="en-US" w:eastAsia="zh-CN"/>
        </w:rPr>
        <w:t>BP。</w:t>
      </w:r>
      <w:r>
        <w:rPr>
          <w:rFonts w:hint="eastAsia" w:ascii="楷体" w:hAnsi="楷体" w:eastAsia="楷体" w:cs="楷体"/>
          <w:sz w:val="24"/>
          <w:highlight w:val="none"/>
          <w:lang w:val="en-US" w:eastAsia="zh-CN"/>
        </w:rPr>
        <w:t>进入2024年以后，随着政策利率中枢下移和市场资金利率变化，现金管理类产品收益呈现下滑趋势，</w:t>
      </w:r>
      <w:r>
        <w:rPr>
          <w:rFonts w:hint="eastAsia" w:ascii="楷体" w:hAnsi="楷体" w:eastAsia="楷体" w:cs="楷体"/>
          <w:sz w:val="24"/>
          <w:highlight w:val="none"/>
        </w:rPr>
        <w:t>5月资金面延续宽松态势，资金利率有所下移，叠加底层资产存款利率也有一定的下行趋势</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现金管理类产品收益下行至2.00%以下。</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spacing w:line="360" w:lineRule="auto"/>
              <w:jc w:val="center"/>
              <w:rPr>
                <w:rFonts w:ascii="楷体" w:hAnsi="楷体" w:eastAsia="楷体" w:cs="楷体"/>
                <w:sz w:val="24"/>
              </w:rPr>
            </w:pPr>
            <w:r>
              <w:drawing>
                <wp:inline distT="0" distB="0" distL="114300" distR="114300">
                  <wp:extent cx="5073015" cy="3028950"/>
                  <wp:effectExtent l="4445" t="4445" r="8890"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pPr>
        <w:rPr>
          <w:rFonts w:ascii="楷体" w:hAnsi="楷体" w:eastAsia="楷体" w:cs="楷体"/>
          <w:sz w:val="24"/>
        </w:rPr>
      </w:pPr>
      <w:r>
        <w:rPr>
          <w:rFonts w:hint="eastAsia" w:ascii="楷体" w:hAnsi="楷体" w:eastAsia="楷体" w:cs="楷体"/>
          <w:sz w:val="18"/>
          <w:szCs w:val="18"/>
        </w:rPr>
        <w:t>数据来源：普益标准</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公开市场方面，5月有1250亿MLF到期，央行等量平价续作；5月央行逆回购净投放1640亿元，月末逆回购余额升至6140亿，与2016-2020年同期接近；央行公布5月PSL净归还750亿元；并且考虑5月国库现金定存净投放700亿元，我们预计5月央行对其他存款性公司债权环比上升约1600亿元。</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5月DR007维持在政策利率附近，尽管并无降准降息的政策落地，但资金面自发性宽松的状态仍然维持，由于非银流动性持续充裕，资金分层以及波动率均降至近年来的最低水平。4月DR007均值为1.85%，重回央行强调“资金利率围绕政策利率为中枢波动”的状态下，DR007均值在7天OMO利率上下5BP的经验规律。尽管由于超长期特别国债的发行节奏偏缓，叠加央行对于长端利率过快下行的担忧，5月并无降准降息的政策落地，但资金面自发宽松的状态仍在持续。由于居民存款向非银存款转移，叠加短端利率与资金利率的持续压缩，使得非银机构杠杆意愿下降，流动性处于持续充裕的状态。在这样的状态下，R与DR利差持续压缩甚至出现倒挂，R007与DR007利差的月均值降至3BP，创下了2015年9月以来的最低值，这主要是由于居民存款搬家背景下非银机构负债相对稳定，非银流动性充裕带来资金面自发性宽松。由于银行净融出规模偏低，7天与隔夜利率的利差同样降至近年来的偏低水平，隔夜、7天利率的波动率也均降至近年来的最低水平。</w:t>
      </w:r>
    </w:p>
    <w:p>
      <w:pPr>
        <w:widowControl/>
        <w:numPr>
          <w:ilvl w:val="0"/>
          <w:numId w:val="0"/>
        </w:numPr>
        <w:spacing w:line="360" w:lineRule="auto"/>
        <w:ind w:firstLine="480" w:firstLineChars="200"/>
        <w:rPr>
          <w:rFonts w:hint="eastAsia" w:ascii="楷体" w:hAnsi="楷体" w:eastAsia="楷体" w:cs="楷体"/>
          <w:sz w:val="24"/>
          <w:highlight w:val="yellow"/>
          <w:lang w:val="en-US" w:eastAsia="zh-CN"/>
        </w:rPr>
      </w:pPr>
      <w:r>
        <w:rPr>
          <w:rFonts w:hint="eastAsia" w:ascii="楷体" w:hAnsi="楷体" w:eastAsia="楷体" w:cs="楷体"/>
          <w:sz w:val="24"/>
          <w:highlight w:val="none"/>
        </w:rPr>
        <w:t>5月广义财政支出规模与往年同期均值水平接近，但政府债净供给规模较4月大幅提升，预计5月政府存款或上升约6100亿元，对于资金面的扰动较往年同期增加；5月缴准季节性上升，或回笼资金约1200亿元；五一假期后现金回流或提速，预计货币发行减少2000亿元，对资金面起到支撑，而外汇占款的影响对流动性的影响仍然有限</w:t>
      </w:r>
    </w:p>
    <w:p>
      <w:pPr>
        <w:spacing w:line="360" w:lineRule="auto"/>
        <w:rPr>
          <w:rFonts w:ascii="楷体" w:hAnsi="楷体" w:eastAsia="楷体" w:cs="楷体"/>
          <w:sz w:val="24"/>
        </w:rPr>
      </w:pPr>
    </w:p>
    <w:p>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1.66</w:t>
      </w:r>
      <w:r>
        <w:rPr>
          <w:rFonts w:hint="eastAsia" w:ascii="楷体" w:hAnsi="楷体" w:eastAsia="楷体" w:cs="楷体"/>
          <w:b/>
          <w:bCs/>
          <w:color w:val="000000" w:themeColor="text1"/>
          <w:sz w:val="24"/>
          <w:highlight w:val="none"/>
          <w14:textFill>
            <w14:solidFill>
              <w14:schemeClr w14:val="tx1"/>
            </w14:solidFill>
          </w14:textFill>
        </w:rPr>
        <w:t>%</w:t>
      </w:r>
    </w:p>
    <w:p>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5</w:t>
      </w:r>
      <w:r>
        <w:rPr>
          <w:rFonts w:hint="eastAsia" w:ascii="楷体" w:hAnsi="楷体" w:eastAsia="楷体" w:cs="楷体"/>
          <w:color w:val="000000" w:themeColor="text1"/>
          <w:sz w:val="24"/>
          <w14:textFill>
            <w14:solidFill>
              <w14:schemeClr w14:val="tx1"/>
            </w14:solidFill>
          </w14:textFill>
        </w:rPr>
        <w:t>月，全国银行理财市场固收类产品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过去三个月投资收益为0.76%，较上月下降6BP；过去六个月投资收益为1.66%，较上月下降1BP，处于近半年较高水平，表现较好。</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过去三个月投资收益为0.65%，较上月下降3BP；过去六个月投资收益达1.43%，较上月上升1BP。</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过去三个月投资收益为0.78%，较上月下降6BP；过去六个月投资收益达1.76%，较上月下降2BP，表现较好。</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过去三个月投资收益为0.95%，较上月下降11BP；过去六个月投资收益达2.01%，较上月下降1BP，展现出了较强的收益获取能力。</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5月份，短、中期国债和短、中期企业债到期收益率均下降。具体来看，5月31日，6个月和1年期国债到期收益率分别为1.61%、1.65%，较4月底分别环比下降3.60BP、4.71BP；6个月AAA企业债和1年期AAA企业债到期收益率分别为2.00%和2.19%，较4月底分别环比下降9.93BP和10.66BP。</w:t>
      </w:r>
    </w:p>
    <w:p>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2815" cy="2733675"/>
                  <wp:effectExtent l="4445" t="4445" r="15240" b="5080"/>
                  <wp:docPr id="13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5月份，2年期和10年期国债、2年期和10年期长期限企业债到期收益率均下降。具体来看，5月31日，2年期和10年期国债到期收益率为1.80%和2.29%，较4月底分别环比下降8.46BP和1.52BP；2年和10年期AAA企业债到期收益率为2.18%和2.62%，较4月底分别环比下降17.86BP和3.89BP。</w:t>
      </w:r>
    </w:p>
    <w:p>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590415" cy="2809875"/>
                  <wp:effectExtent l="4445" t="4445" r="15240" b="5080"/>
                  <wp:docPr id="13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pPr>
        <w:spacing w:line="360" w:lineRule="auto"/>
        <w:rPr>
          <w:rFonts w:ascii="楷体" w:hAnsi="楷体" w:eastAsia="楷体" w:cs="楷体"/>
          <w:sz w:val="24"/>
        </w:rPr>
      </w:pPr>
    </w:p>
    <w:p>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下行</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2024年5月，全国银行理财市场现金管理类产品收益指数持续下行，截至2024年5月31日，全国银行理财市场现金管理类产品收益指数为66.89，较上月环比下降3.31点，降幅4.72%，较基期下降33.11点，下降33.11%。</w:t>
      </w:r>
    </w:p>
    <w:p>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widowControl/>
              <w:numPr>
                <w:ilvl w:val="255"/>
                <w:numId w:val="0"/>
              </w:numPr>
              <w:jc w:val="left"/>
            </w:pPr>
            <w:r>
              <w:drawing>
                <wp:anchor distT="0" distB="0" distL="114300" distR="114300" simplePos="0" relativeHeight="251660288" behindDoc="0" locked="0" layoutInCell="1" allowOverlap="1">
                  <wp:simplePos x="0" y="0"/>
                  <wp:positionH relativeFrom="column">
                    <wp:posOffset>3653155</wp:posOffset>
                  </wp:positionH>
                  <wp:positionV relativeFrom="paragraph">
                    <wp:posOffset>62230</wp:posOffset>
                  </wp:positionV>
                  <wp:extent cx="1552575" cy="533400"/>
                  <wp:effectExtent l="0" t="0" r="9525" b="0"/>
                  <wp:wrapNone/>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2"/>
                          <a:stretch>
                            <a:fillRect/>
                          </a:stretch>
                        </pic:blipFill>
                        <pic:spPr>
                          <a:xfrm>
                            <a:off x="0" y="0"/>
                            <a:ext cx="1552575" cy="533400"/>
                          </a:xfrm>
                          <a:prstGeom prst="rect">
                            <a:avLst/>
                          </a:prstGeom>
                          <a:noFill/>
                          <a:ln>
                            <a:noFill/>
                          </a:ln>
                        </pic:spPr>
                      </pic:pic>
                    </a:graphicData>
                  </a:graphic>
                </wp:anchor>
              </w:drawing>
            </w:r>
            <w:r>
              <w:drawing>
                <wp:inline distT="0" distB="0" distL="114300" distR="114300">
                  <wp:extent cx="5271770" cy="2747645"/>
                  <wp:effectExtent l="4445" t="4445" r="19685" b="10160"/>
                  <wp:docPr id="1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延续上行态势</w:t>
      </w:r>
    </w:p>
    <w:p>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5</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106.69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涨幅0.27</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6.69</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6.69%</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tblPrEx>
          <w:tblCellMar>
            <w:top w:w="0" w:type="dxa"/>
            <w:left w:w="108" w:type="dxa"/>
            <w:bottom w:w="0" w:type="dxa"/>
            <w:right w:w="108" w:type="dxa"/>
          </w:tblCellMar>
        </w:tblPrEx>
        <w:trPr>
          <w:wAfter w:w="0" w:type="auto"/>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0.27%</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0.76%</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1.66%</w:t>
            </w:r>
          </w:p>
        </w:tc>
      </w:tr>
    </w:tbl>
    <w:p>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spacing w:line="360" w:lineRule="auto"/>
              <w:jc w:val="center"/>
              <w:rPr>
                <w:rFonts w:ascii="楷体" w:hAnsi="楷体" w:eastAsia="楷体" w:cs="楷体"/>
                <w:sz w:val="24"/>
              </w:rPr>
            </w:pPr>
            <w:r>
              <w:drawing>
                <wp:anchor distT="0" distB="0" distL="114300" distR="114300" simplePos="0" relativeHeight="251661312" behindDoc="0" locked="0" layoutInCell="1" allowOverlap="1">
                  <wp:simplePos x="0" y="0"/>
                  <wp:positionH relativeFrom="column">
                    <wp:posOffset>3699510</wp:posOffset>
                  </wp:positionH>
                  <wp:positionV relativeFrom="paragraph">
                    <wp:posOffset>97155</wp:posOffset>
                  </wp:positionV>
                  <wp:extent cx="1390650" cy="533400"/>
                  <wp:effectExtent l="0" t="0" r="0" b="0"/>
                  <wp:wrapNone/>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14"/>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5075555" cy="2970530"/>
                  <wp:effectExtent l="4445" t="4445" r="6350" b="15875"/>
                  <wp:docPr id="1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pPr>
        <w:keepNext/>
        <w:rPr>
          <w:rFonts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分期限来看，5</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106.41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上升0.25</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6.41</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6.41%；中期固收类产品收益指数为106.97点，环比上升0.30点，环比涨幅0.28%，指数较基期上升6.97点，增长6.97%；长期固收类产品收益指数为107.05点，环比上升0.35点，环比涨幅0.32%，指数较基期上升7.05点，增长7.05%。</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1.43%</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0.78%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1.76%</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0.95%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2.01%</w:t>
            </w:r>
          </w:p>
        </w:tc>
      </w:tr>
    </w:tbl>
    <w:p>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pPr>
        <w:keepNext/>
        <w:rPr>
          <w:rFonts w:ascii="楷体" w:hAnsi="楷体" w:eastAsia="楷体" w:cs="楷体"/>
          <w:sz w:val="18"/>
          <w:szCs w:val="18"/>
        </w:rPr>
      </w:pPr>
      <w:r>
        <w:rPr>
          <w:rFonts w:hint="eastAsia" w:ascii="楷体" w:hAnsi="楷体" w:eastAsia="楷体" w:cs="楷体"/>
          <w:sz w:val="18"/>
          <w:szCs w:val="18"/>
        </w:rPr>
        <w:t>数据来源：普益标准</w:t>
      </w:r>
    </w:p>
    <w:p>
      <w:pPr>
        <w:spacing w:line="360" w:lineRule="auto"/>
        <w:rPr>
          <w:rFonts w:hint="eastAsia" w:ascii="楷体" w:hAnsi="楷体" w:eastAsia="楷体" w:cs="楷体"/>
          <w:b/>
          <w:bCs/>
          <w:sz w:val="24"/>
        </w:rPr>
      </w:pPr>
    </w:p>
    <w:p>
      <w:pPr>
        <w:rPr>
          <w:rFonts w:ascii="楷体" w:hAnsi="楷体" w:eastAsia="楷体" w:cs="楷体"/>
          <w:sz w:val="24"/>
        </w:rPr>
      </w:pPr>
      <w:r>
        <w:rPr>
          <w:rFonts w:ascii="楷体" w:hAnsi="楷体" w:eastAsia="楷体" w:cs="楷体"/>
          <w:sz w:val="24"/>
        </w:rPr>
        <w:br w:type="page"/>
      </w:r>
    </w:p>
    <w:p>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pPr>
        <w:pStyle w:val="2"/>
      </w:pPr>
      <w:r>
        <w:rPr>
          <w:rFonts w:hint="eastAsia" w:ascii="楷体" w:hAnsi="楷体" w:eastAsia="楷体" w:cs="楷体"/>
          <w:b/>
          <w:bCs/>
          <w:sz w:val="28"/>
          <w:szCs w:val="28"/>
        </w:rPr>
        <w:t>附录一：指数编制说明</w:t>
      </w:r>
    </w:p>
    <w:p>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p>
    <w:p>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3">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pPr>
        <w:pStyle w:val="2"/>
      </w:pPr>
    </w:p>
    <w:p>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r>
        <w:br w:type="page"/>
      </w:r>
    </w:p>
    <w:p>
      <w:pPr>
        <w:pStyle w:val="2"/>
      </w:pP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2VlYTk1MjAxOWNhZTRlMDdhYTdmMGQxNDY5ZWM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FC0CA9"/>
    <w:rsid w:val="00FC3E12"/>
    <w:rsid w:val="010D5C4B"/>
    <w:rsid w:val="011D7DEB"/>
    <w:rsid w:val="012D3D0B"/>
    <w:rsid w:val="023120B2"/>
    <w:rsid w:val="0255628F"/>
    <w:rsid w:val="027F321C"/>
    <w:rsid w:val="02BF15A4"/>
    <w:rsid w:val="031A67DB"/>
    <w:rsid w:val="031F16AC"/>
    <w:rsid w:val="03426E87"/>
    <w:rsid w:val="03FB336C"/>
    <w:rsid w:val="04114AC6"/>
    <w:rsid w:val="045F6D02"/>
    <w:rsid w:val="0480239D"/>
    <w:rsid w:val="048F3CBD"/>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EE6E9A"/>
    <w:rsid w:val="08FC6215"/>
    <w:rsid w:val="09150170"/>
    <w:rsid w:val="09843C8B"/>
    <w:rsid w:val="098D41AA"/>
    <w:rsid w:val="09B94653"/>
    <w:rsid w:val="0A22765F"/>
    <w:rsid w:val="0A31663D"/>
    <w:rsid w:val="0A3B0017"/>
    <w:rsid w:val="0A611635"/>
    <w:rsid w:val="0ABD5F1F"/>
    <w:rsid w:val="0BC35326"/>
    <w:rsid w:val="0BF53C8B"/>
    <w:rsid w:val="0CA912FB"/>
    <w:rsid w:val="0CAE6F1F"/>
    <w:rsid w:val="0D2B2277"/>
    <w:rsid w:val="0D790629"/>
    <w:rsid w:val="0D825D10"/>
    <w:rsid w:val="0DE34399"/>
    <w:rsid w:val="0E5F1FDE"/>
    <w:rsid w:val="0E9E29B6"/>
    <w:rsid w:val="0EA93835"/>
    <w:rsid w:val="0EF34AB0"/>
    <w:rsid w:val="0F4B372F"/>
    <w:rsid w:val="0F5F0397"/>
    <w:rsid w:val="0F8356F6"/>
    <w:rsid w:val="0FC226D4"/>
    <w:rsid w:val="0FD86B39"/>
    <w:rsid w:val="0FEE78F2"/>
    <w:rsid w:val="10CA514A"/>
    <w:rsid w:val="10E50428"/>
    <w:rsid w:val="11266B4B"/>
    <w:rsid w:val="129B3B91"/>
    <w:rsid w:val="130A3724"/>
    <w:rsid w:val="13C32DA1"/>
    <w:rsid w:val="14342E34"/>
    <w:rsid w:val="1480391E"/>
    <w:rsid w:val="14EB1F9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E37072"/>
    <w:rsid w:val="19FE5CD3"/>
    <w:rsid w:val="1AC67C71"/>
    <w:rsid w:val="1AF52BBE"/>
    <w:rsid w:val="1B1F1786"/>
    <w:rsid w:val="1BD83EBC"/>
    <w:rsid w:val="1C2002E2"/>
    <w:rsid w:val="1CA034BD"/>
    <w:rsid w:val="1CE65B87"/>
    <w:rsid w:val="1CFC7225"/>
    <w:rsid w:val="1D4D37B5"/>
    <w:rsid w:val="1D5C5C9E"/>
    <w:rsid w:val="1DC60161"/>
    <w:rsid w:val="1DEC0A26"/>
    <w:rsid w:val="1E1D1F55"/>
    <w:rsid w:val="1E6F44CA"/>
    <w:rsid w:val="1E7A1067"/>
    <w:rsid w:val="1EEE7875"/>
    <w:rsid w:val="1F094F0C"/>
    <w:rsid w:val="1F415B52"/>
    <w:rsid w:val="1F775289"/>
    <w:rsid w:val="1F98623E"/>
    <w:rsid w:val="20124FB2"/>
    <w:rsid w:val="201721F5"/>
    <w:rsid w:val="206A094A"/>
    <w:rsid w:val="206D5E77"/>
    <w:rsid w:val="206F58BB"/>
    <w:rsid w:val="20AA214D"/>
    <w:rsid w:val="21617F9F"/>
    <w:rsid w:val="21EC5EE5"/>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176D65"/>
    <w:rsid w:val="281D0719"/>
    <w:rsid w:val="28280ABF"/>
    <w:rsid w:val="28332D7F"/>
    <w:rsid w:val="286A598B"/>
    <w:rsid w:val="28BC3374"/>
    <w:rsid w:val="29671ECA"/>
    <w:rsid w:val="298F257A"/>
    <w:rsid w:val="29BF7F53"/>
    <w:rsid w:val="29CC7F7F"/>
    <w:rsid w:val="2A1A6425"/>
    <w:rsid w:val="2A1D5B1A"/>
    <w:rsid w:val="2A4F4458"/>
    <w:rsid w:val="2A894729"/>
    <w:rsid w:val="2A9A4101"/>
    <w:rsid w:val="2AE94250"/>
    <w:rsid w:val="2AF21991"/>
    <w:rsid w:val="2B227E36"/>
    <w:rsid w:val="2B4A2C69"/>
    <w:rsid w:val="2BBE23F4"/>
    <w:rsid w:val="2BE7010A"/>
    <w:rsid w:val="2BF74302"/>
    <w:rsid w:val="2C0A59C8"/>
    <w:rsid w:val="2C41345C"/>
    <w:rsid w:val="2C9F10FD"/>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B9027E"/>
    <w:rsid w:val="31BB0CC6"/>
    <w:rsid w:val="31C0661C"/>
    <w:rsid w:val="31C12394"/>
    <w:rsid w:val="31D64D15"/>
    <w:rsid w:val="320261C4"/>
    <w:rsid w:val="32163EC8"/>
    <w:rsid w:val="323F406E"/>
    <w:rsid w:val="325064C8"/>
    <w:rsid w:val="327354E6"/>
    <w:rsid w:val="3277593D"/>
    <w:rsid w:val="32F42FBE"/>
    <w:rsid w:val="33243E3B"/>
    <w:rsid w:val="3337290D"/>
    <w:rsid w:val="33C601DE"/>
    <w:rsid w:val="34140EA1"/>
    <w:rsid w:val="343E7C43"/>
    <w:rsid w:val="3474249F"/>
    <w:rsid w:val="34D5292D"/>
    <w:rsid w:val="352C1FEF"/>
    <w:rsid w:val="35590699"/>
    <w:rsid w:val="3564585C"/>
    <w:rsid w:val="35E82D0F"/>
    <w:rsid w:val="363E0065"/>
    <w:rsid w:val="367C3A34"/>
    <w:rsid w:val="36C56482"/>
    <w:rsid w:val="376B0D44"/>
    <w:rsid w:val="377655FB"/>
    <w:rsid w:val="3819071C"/>
    <w:rsid w:val="38415FDC"/>
    <w:rsid w:val="38C8225A"/>
    <w:rsid w:val="38D20CF3"/>
    <w:rsid w:val="38E33FD5"/>
    <w:rsid w:val="39636982"/>
    <w:rsid w:val="39795DE8"/>
    <w:rsid w:val="39914FE8"/>
    <w:rsid w:val="3A1B1711"/>
    <w:rsid w:val="3A84599A"/>
    <w:rsid w:val="3AB848A5"/>
    <w:rsid w:val="3AFD3A11"/>
    <w:rsid w:val="3AFD4854"/>
    <w:rsid w:val="3B021A53"/>
    <w:rsid w:val="3B445203"/>
    <w:rsid w:val="3B79633E"/>
    <w:rsid w:val="3C101F4E"/>
    <w:rsid w:val="3C8A0FF0"/>
    <w:rsid w:val="3C93031D"/>
    <w:rsid w:val="3CA03356"/>
    <w:rsid w:val="3D321D80"/>
    <w:rsid w:val="3D34424D"/>
    <w:rsid w:val="3D7E1BAC"/>
    <w:rsid w:val="3E3F09AD"/>
    <w:rsid w:val="3E5661DC"/>
    <w:rsid w:val="3E75105D"/>
    <w:rsid w:val="3EDF15F3"/>
    <w:rsid w:val="3EE8674C"/>
    <w:rsid w:val="3EF10652"/>
    <w:rsid w:val="3F3B2ABF"/>
    <w:rsid w:val="3F457ABB"/>
    <w:rsid w:val="3F501217"/>
    <w:rsid w:val="3F5F1797"/>
    <w:rsid w:val="3FAD71CC"/>
    <w:rsid w:val="3FBA50C3"/>
    <w:rsid w:val="3FBA6DA0"/>
    <w:rsid w:val="40132AC3"/>
    <w:rsid w:val="408110D3"/>
    <w:rsid w:val="40C41E8A"/>
    <w:rsid w:val="41115436"/>
    <w:rsid w:val="413B014E"/>
    <w:rsid w:val="414108DA"/>
    <w:rsid w:val="414803DC"/>
    <w:rsid w:val="41552871"/>
    <w:rsid w:val="41E46FD4"/>
    <w:rsid w:val="41E84399"/>
    <w:rsid w:val="41EB78A8"/>
    <w:rsid w:val="41F7515B"/>
    <w:rsid w:val="41FA6F58"/>
    <w:rsid w:val="421F2042"/>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580CEC"/>
    <w:rsid w:val="499C3D77"/>
    <w:rsid w:val="49EE6E87"/>
    <w:rsid w:val="49F51FBF"/>
    <w:rsid w:val="4A542A6C"/>
    <w:rsid w:val="4A587821"/>
    <w:rsid w:val="4A5A0D68"/>
    <w:rsid w:val="4A6A611B"/>
    <w:rsid w:val="4A912657"/>
    <w:rsid w:val="4AA845E5"/>
    <w:rsid w:val="4B106111"/>
    <w:rsid w:val="4B125CE2"/>
    <w:rsid w:val="4B187DA2"/>
    <w:rsid w:val="4B3403E9"/>
    <w:rsid w:val="4B864EBE"/>
    <w:rsid w:val="4BC34F7E"/>
    <w:rsid w:val="4BD905AE"/>
    <w:rsid w:val="4C110F00"/>
    <w:rsid w:val="4CFB4554"/>
    <w:rsid w:val="4D6E1DDE"/>
    <w:rsid w:val="4DDB0306"/>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4A0FE0"/>
    <w:rsid w:val="51E83CAE"/>
    <w:rsid w:val="51F6353C"/>
    <w:rsid w:val="51FE15B7"/>
    <w:rsid w:val="522B768A"/>
    <w:rsid w:val="524136B8"/>
    <w:rsid w:val="5246352F"/>
    <w:rsid w:val="52BB7FB0"/>
    <w:rsid w:val="53126132"/>
    <w:rsid w:val="5324179A"/>
    <w:rsid w:val="532C41CA"/>
    <w:rsid w:val="534704F3"/>
    <w:rsid w:val="5382152B"/>
    <w:rsid w:val="53AF548C"/>
    <w:rsid w:val="54305A92"/>
    <w:rsid w:val="543F19F5"/>
    <w:rsid w:val="54461671"/>
    <w:rsid w:val="54741E50"/>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A5D2664"/>
    <w:rsid w:val="5A8B4A50"/>
    <w:rsid w:val="5A9F6E67"/>
    <w:rsid w:val="5AF061B4"/>
    <w:rsid w:val="5B1C5572"/>
    <w:rsid w:val="5B4C6344"/>
    <w:rsid w:val="5B56533D"/>
    <w:rsid w:val="5B8267D1"/>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12A1601"/>
    <w:rsid w:val="61323E55"/>
    <w:rsid w:val="61922529"/>
    <w:rsid w:val="61AF4EC6"/>
    <w:rsid w:val="621974FF"/>
    <w:rsid w:val="626B6941"/>
    <w:rsid w:val="628726BA"/>
    <w:rsid w:val="62B71C5C"/>
    <w:rsid w:val="62D41677"/>
    <w:rsid w:val="62F251EC"/>
    <w:rsid w:val="6341380F"/>
    <w:rsid w:val="63A147E3"/>
    <w:rsid w:val="6423749F"/>
    <w:rsid w:val="642D54E3"/>
    <w:rsid w:val="6494075F"/>
    <w:rsid w:val="64C30A08"/>
    <w:rsid w:val="64F80B1E"/>
    <w:rsid w:val="65651219"/>
    <w:rsid w:val="656E190F"/>
    <w:rsid w:val="65AB12DA"/>
    <w:rsid w:val="65D51E2C"/>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73BFF"/>
    <w:rsid w:val="6AD85B33"/>
    <w:rsid w:val="6AE04A70"/>
    <w:rsid w:val="6AE94BCC"/>
    <w:rsid w:val="6B0E619E"/>
    <w:rsid w:val="6B421874"/>
    <w:rsid w:val="6BCA7D47"/>
    <w:rsid w:val="6CC31B16"/>
    <w:rsid w:val="6CE16C69"/>
    <w:rsid w:val="6D090170"/>
    <w:rsid w:val="6D1A3680"/>
    <w:rsid w:val="6D2A25C0"/>
    <w:rsid w:val="6D3B6042"/>
    <w:rsid w:val="6DB63E53"/>
    <w:rsid w:val="6E4B5C71"/>
    <w:rsid w:val="6E99523C"/>
    <w:rsid w:val="6EC627BC"/>
    <w:rsid w:val="6EFF7A7C"/>
    <w:rsid w:val="6F17388B"/>
    <w:rsid w:val="6F1A26D7"/>
    <w:rsid w:val="6F566BE6"/>
    <w:rsid w:val="6F6D2C38"/>
    <w:rsid w:val="6FFF15A5"/>
    <w:rsid w:val="702B1097"/>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57CFF"/>
    <w:rsid w:val="75177AF0"/>
    <w:rsid w:val="752805E3"/>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D520AB"/>
    <w:rsid w:val="7B7D0C79"/>
    <w:rsid w:val="7BD61CB9"/>
    <w:rsid w:val="7C105182"/>
    <w:rsid w:val="7C562464"/>
    <w:rsid w:val="7C7E0244"/>
    <w:rsid w:val="7CA84607"/>
    <w:rsid w:val="7D180687"/>
    <w:rsid w:val="7D4908E1"/>
    <w:rsid w:val="7D583CBE"/>
    <w:rsid w:val="7D586CD5"/>
    <w:rsid w:val="7DA341C0"/>
    <w:rsid w:val="7DAF157B"/>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theme" Target="theme/theme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image" Target="media/image3.emf"/><Relationship Id="rId13" Type="http://schemas.openxmlformats.org/officeDocument/2006/relationships/chart" Target="charts/chart8.xml"/><Relationship Id="rId12" Type="http://schemas.openxmlformats.org/officeDocument/2006/relationships/image" Target="media/image2.emf"/><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5&#26376;\&#22269;&#20538;&#20225;&#19994;&#20538;&#25910;&#30410;&#29575;-&#25130;&#33267;2024&#24180;05&#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5&#26376;\&#22269;&#20538;&#20225;&#19994;&#20538;&#25910;&#30410;&#29575;-&#25130;&#33267;2024&#24180;05&#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23828;&#30427;&#24742;\&#24037;&#20316;&#20869;&#23481;\2024&#26032;&#29256;&#25351;&#25968;\2024&#24180;5&#26376;\2024&#24180;5&#26376;&#38738;&#38134;&#12289;&#27721;&#21475;&#25351;&#25968;\2024&#24180;5&#26376;&#25351;&#25968;&#25968;&#25454;\&#21306;&#22495;&#38134;&#34892;&#29702;&#36130;&#20135;&#21697;&#25351;&#25968;&#65288;202405&#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'[区域银行理财产品指数（202405）.xlsx]现金-单产品收益表现'!$C$33</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'[区域银行理财产品指数（202405）.xlsx]现金-单产品收益表现'!$B$34:$B$62</c:f>
              <c:strCache>
                <c:ptCount val="29"/>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strCache>
            </c:strRef>
          </c:cat>
          <c:val>
            <c:numRef>
              <c:f>'[区域银行理财产品指数（202405）.xlsx]现金-单产品收益表现'!$C$34:$C$62</c:f>
              <c:numCache>
                <c:formatCode>0.00_ </c:formatCode>
                <c:ptCount val="29"/>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'[区域银行理财产品指数（202405）.xlsx]固收类产品指数'!$M$2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'[区域银行理财产品指数（202405）.xlsx]固收类产品指数'!$A$3:$A$32</c:f>
              <c:numCache>
                <c:formatCode>yyyy"年"m"月";@</c:formatCode>
                <c:ptCount val="3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numCache>
            </c:numRef>
          </c:cat>
          <c:val>
            <c:numRef>
              <c:f>'[区域银行理财产品指数（202405）.xlsx]固收类产品指数'!$M$3:$M$32</c:f>
              <c:numCache>
                <c:formatCode>0.00_);[Red]\(0.00\)</c:formatCode>
                <c:ptCount val="30"/>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numCache>
            </c:numRef>
          </c:val>
          <c:smooth val="0"/>
        </c:ser>
        <c:ser>
          <c:idx val="1"/>
          <c:order val="1"/>
          <c:tx>
            <c:strRef>
              <c:f>'[区域银行理财产品指数（202405）.xlsx]固收类产品指数'!$N$2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'[区域银行理财产品指数（202405）.xlsx]固收类产品指数'!$A$3:$A$32</c:f>
              <c:numCache>
                <c:formatCode>yyyy"年"m"月";@</c:formatCode>
                <c:ptCount val="3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numCache>
            </c:numRef>
          </c:cat>
          <c:val>
            <c:numRef>
              <c:f>'[区域银行理财产品指数（202405）.xlsx]固收类产品指数'!$N$3:$N$32</c:f>
              <c:numCache>
                <c:formatCode>0.00_);[Red]\(0.00\)</c:formatCode>
                <c:ptCount val="30"/>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numCache>
            </c:numRef>
          </c:val>
          <c:smooth val="0"/>
        </c:ser>
        <c:ser>
          <c:idx val="2"/>
          <c:order val="2"/>
          <c:tx>
            <c:strRef>
              <c:f>'[区域银行理财产品指数（202405）.xlsx]固收类产品指数'!$O$2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'[区域银行理财产品指数（202405）.xlsx]固收类产品指数'!$A$3:$A$32</c:f>
              <c:numCache>
                <c:formatCode>yyyy"年"m"月";@</c:formatCode>
                <c:ptCount val="3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numCache>
            </c:numRef>
          </c:cat>
          <c:val>
            <c:numRef>
              <c:f>'[区域银行理财产品指数（202405）.xlsx]固收类产品指数'!$O$3:$O$32</c:f>
              <c:numCache>
                <c:formatCode>0.00_);[Red]\(0.00\)</c:formatCode>
                <c:ptCount val="30"/>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numCache>
            </c:numRef>
          </c:val>
          <c:smooth val="0"/>
        </c:ser>
        <c:ser>
          <c:idx val="3"/>
          <c:order val="3"/>
          <c:tx>
            <c:strRef>
              <c:f>'[区域银行理财产品指数（202405）.xlsx]固收类产品指数'!$P$2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'[区域银行理财产品指数（202405）.xlsx]固收类产品指数'!$A$3:$A$32</c:f>
              <c:numCache>
                <c:formatCode>yyyy"年"m"月";@</c:formatCode>
                <c:ptCount val="30"/>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numCache>
            </c:numRef>
          </c:cat>
          <c:val>
            <c:numRef>
              <c:f>'[区域银行理财产品指数（202405）.xlsx]固收类产品指数'!$P$3:$P$32</c:f>
              <c:numCache>
                <c:formatCode>0.00_);[Red]\(0.00\)</c:formatCode>
                <c:ptCount val="30"/>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'[区域银行理财产品指数（202405）.xlsx]全国固收指数收益'!$O$2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'[区域银行理财产品指数（202405）.xlsx]全国固收指数收益'!$H$24:$H$29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'[区域银行理财产品指数（202405）.xlsx]全国固收指数收益'!$O$24:$O$29</c:f>
              <c:numCache>
                <c:formatCode>0.00%</c:formatCode>
                <c:ptCount val="6"/>
                <c:pt idx="0">
                  <c:v>0.00735548135818127</c:v>
                </c:pt>
                <c:pt idx="1">
                  <c:v>0.00840335208388268</c:v>
                </c:pt>
                <c:pt idx="2">
                  <c:v>0.00897419658228041</c:v>
                </c:pt>
                <c:pt idx="3">
                  <c:v>0.00798213443790898</c:v>
                </c:pt>
                <c:pt idx="4">
                  <c:v>0.00820726893021497</c:v>
                </c:pt>
                <c:pt idx="5">
                  <c:v>0.0075966101737599</c:v>
                </c:pt>
              </c:numCache>
            </c:numRef>
          </c:val>
        </c:ser>
        <c:ser>
          <c:idx val="1"/>
          <c:order val="1"/>
          <c:tx>
            <c:strRef>
              <c:f>'[区域银行理财产品指数（202405）.xlsx]全国固收指数收益'!$P$2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'[区域银行理财产品指数（202405）.xlsx]全国固收指数收益'!$H$24:$H$29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'[区域银行理财产品指数（202405）.xlsx]全国固收指数收益'!$P$24:$P$29</c:f>
              <c:numCache>
                <c:formatCode>0.00%</c:formatCode>
                <c:ptCount val="6"/>
                <c:pt idx="0">
                  <c:v>0.0133523546048586</c:v>
                </c:pt>
                <c:pt idx="1">
                  <c:v>0.0131929892146216</c:v>
                </c:pt>
                <c:pt idx="2">
                  <c:v>0.0141408964512421</c:v>
                </c:pt>
                <c:pt idx="3">
                  <c:v>0.0153963282371468</c:v>
                </c:pt>
                <c:pt idx="4">
                  <c:v>0.0166795895845654</c:v>
                </c:pt>
                <c:pt idx="5">
                  <c:v>0.0166389802290986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'[区域银行理财产品指数（202405）.xlsx]全国固收指数收益'!$I$2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'[区域银行理财产品指数（202405）.20240612181145774.xlsx]全国固收指数收益'!$I$24:$I$29</c:f>
              <c:numCache>
                <c:formatCode>0.00%</c:formatCode>
                <c:ptCount val="6"/>
                <c:pt idx="0">
                  <c:v>0.00667501385783727</c:v>
                </c:pt>
                <c:pt idx="1">
                  <c:v>0.00734359865829826</c:v>
                </c:pt>
                <c:pt idx="2">
                  <c:v>0.00774822176067258</c:v>
                </c:pt>
                <c:pt idx="3">
                  <c:v>0.00696723541258468</c:v>
                </c:pt>
                <c:pt idx="4">
                  <c:v>0.00679633688286679</c:v>
                </c:pt>
                <c:pt idx="5">
                  <c:v>0.00652735564801272</c:v>
                </c:pt>
              </c:numCache>
            </c:numRef>
          </c:val>
        </c:ser>
        <c:ser>
          <c:idx val="1"/>
          <c:order val="1"/>
          <c:tx>
            <c:strRef>
              <c:f>'[区域银行理财产品指数（202405）.xlsx]全国固收指数收益'!$J$2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'[区域银行理财产品指数（202405）.20240612181145774.xlsx]全国固收指数收益'!$J$24:$J$29</c:f>
              <c:numCache>
                <c:formatCode>0.00%</c:formatCode>
                <c:ptCount val="6"/>
                <c:pt idx="0">
                  <c:v>0.0124996315414444</c:v>
                </c:pt>
                <c:pt idx="1">
                  <c:v>0.0127100872158051</c:v>
                </c:pt>
                <c:pt idx="2">
                  <c:v>0.0129980518145481</c:v>
                </c:pt>
                <c:pt idx="3">
                  <c:v>0.0136887556633518</c:v>
                </c:pt>
                <c:pt idx="4">
                  <c:v>0.0141898451115794</c:v>
                </c:pt>
                <c:pt idx="5">
                  <c:v>0.0143261528077569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'[区域银行理财产品指数（202405）.xlsx]全国固收指数收益'!$K$2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'[区域银行理财产品指数（202405）.20240612181145774.xlsx]全国固收指数收益'!$K$24:$K$29</c:f>
              <c:numCache>
                <c:formatCode>0.00%</c:formatCode>
                <c:ptCount val="6"/>
                <c:pt idx="0">
                  <c:v>0.00809127753440733</c:v>
                </c:pt>
                <c:pt idx="1">
                  <c:v>0.00928642715929025</c:v>
                </c:pt>
                <c:pt idx="2">
                  <c:v>0.00978503986034499</c:v>
                </c:pt>
                <c:pt idx="3">
                  <c:v>0.00847030354486078</c:v>
                </c:pt>
                <c:pt idx="4">
                  <c:v>0.00838992602037604</c:v>
                </c:pt>
                <c:pt idx="5">
                  <c:v>0.00777673646425675</c:v>
                </c:pt>
              </c:numCache>
            </c:numRef>
          </c:val>
        </c:ser>
        <c:ser>
          <c:idx val="1"/>
          <c:order val="1"/>
          <c:tx>
            <c:strRef>
              <c:f>'[区域银行理财产品指数（202405）.xlsx]全国固收指数收益'!$L$2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'[区域银行理财产品指数（202405）.20240612181145774.xlsx]全国固收指数收益'!$L$24:$L$29</c:f>
              <c:numCache>
                <c:formatCode>0.00%</c:formatCode>
                <c:ptCount val="6"/>
                <c:pt idx="0">
                  <c:v>0.0144974340444281</c:v>
                </c:pt>
                <c:pt idx="1">
                  <c:v>0.0146865884488126</c:v>
                </c:pt>
                <c:pt idx="2">
                  <c:v>0.0153422100349861</c:v>
                </c:pt>
                <c:pt idx="3">
                  <c:v>0.0166301166560503</c:v>
                </c:pt>
                <c:pt idx="4">
                  <c:v>0.0177542656165263</c:v>
                </c:pt>
                <c:pt idx="5">
                  <c:v>0.0176378720008879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'[区域银行理财产品指数（202405）.xlsx]全国固收指数收益'!$M$2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'[区域银行理财产品指数（202405）.20240612181145774.xlsx]全国固收指数收益'!$M$24:$M$29</c:f>
              <c:numCache>
                <c:formatCode>0.00%</c:formatCode>
                <c:ptCount val="6"/>
                <c:pt idx="0">
                  <c:v>0.00800752091185256</c:v>
                </c:pt>
                <c:pt idx="1">
                  <c:v>0.00955446939856695</c:v>
                </c:pt>
                <c:pt idx="2">
                  <c:v>0.0105257324907961</c:v>
                </c:pt>
                <c:pt idx="3">
                  <c:v>0.00942013258633275</c:v>
                </c:pt>
                <c:pt idx="4">
                  <c:v>0.0105832814303376</c:v>
                </c:pt>
                <c:pt idx="5">
                  <c:v>0.00946572727217155</c:v>
                </c:pt>
              </c:numCache>
            </c:numRef>
          </c:val>
        </c:ser>
        <c:ser>
          <c:idx val="1"/>
          <c:order val="1"/>
          <c:tx>
            <c:strRef>
              <c:f>'[区域银行理财产品指数（202405）.xlsx]全国固收指数收益'!$N$2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'[区域银行理财产品指数（202405）.20240612181145774.xlsx]全国固收指数收益'!$H$24:$H$29</c:f>
              <c:strCache>
                <c:ptCount val="6"/>
                <c:pt idx="0" c:formatCode="@">
                  <c:v>2023-12</c:v>
                </c:pt>
                <c:pt idx="1" c:formatCode="@">
                  <c:v>2024-01</c:v>
                </c:pt>
                <c:pt idx="2" c:formatCode="@">
                  <c:v>2024-02</c:v>
                </c:pt>
                <c:pt idx="3" c:formatCode="@">
                  <c:v>2024-03</c:v>
                </c:pt>
                <c:pt idx="4" c:formatCode="@">
                  <c:v>2024-04</c:v>
                </c:pt>
                <c:pt idx="5" c:formatCode="@">
                  <c:v>2024-05</c:v>
                </c:pt>
              </c:strCache>
            </c:strRef>
          </c:cat>
          <c:val>
            <c:numRef>
              <c:f>'[区域银行理财产品指数（202405）.20240612181145774.xlsx]全国固收指数收益'!$N$24:$N$29</c:f>
              <c:numCache>
                <c:formatCode>0.00%</c:formatCode>
                <c:ptCount val="6"/>
                <c:pt idx="0">
                  <c:v>0.0140281402565213</c:v>
                </c:pt>
                <c:pt idx="1">
                  <c:v>0.0131909273958515</c:v>
                </c:pt>
                <c:pt idx="2">
                  <c:v>0.0154165154563744</c:v>
                </c:pt>
                <c:pt idx="3">
                  <c:v>0.0175030854068628</c:v>
                </c:pt>
                <c:pt idx="4">
                  <c:v>0.0202388684674671</c:v>
                </c:pt>
                <c:pt idx="5">
                  <c:v>0.0200910934760653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'[国债企业债收益率-截至2024年05月.xls]Sheet0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'[国债企业债收益率-截至2024年05月.xls]Sheet0 (2)'!$A$222:$A$830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(2)'!$B$222:$B$830</c:f>
              <c:numCache>
                <c:formatCode>#,##0.00_ </c:formatCode>
                <c:ptCount val="609"/>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numCache>
            </c:numRef>
          </c:val>
          <c:smooth val="0"/>
        </c:ser>
        <c:ser>
          <c:idx val="1"/>
          <c:order val="1"/>
          <c:tx>
            <c:strRef>
              <c:f>'[国债企业债收益率-截至2024年05月.xls]Sheet0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'[国债企业债收益率-截至2024年05月.xls]Sheet0 (2)'!$A$222:$A$830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(2)'!$C$222:$C$830</c:f>
              <c:numCache>
                <c:formatCode>#,##0.00_ </c:formatCode>
                <c:ptCount val="609"/>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numCache>
            </c:numRef>
          </c:val>
          <c:smooth val="0"/>
        </c:ser>
        <c:ser>
          <c:idx val="2"/>
          <c:order val="2"/>
          <c:tx>
            <c:strRef>
              <c:f>'[国债企业债收益率-截至2024年05月.xls]Sheet0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'[国债企业债收益率-截至2024年05月.xls]Sheet0 (2)'!$A$222:$A$830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(2)'!$D$222:$D$830</c:f>
              <c:numCache>
                <c:formatCode>#,##0.00_ </c:formatCode>
                <c:ptCount val="609"/>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numCache>
            </c:numRef>
          </c:val>
          <c:smooth val="0"/>
        </c:ser>
        <c:ser>
          <c:idx val="3"/>
          <c:order val="3"/>
          <c:tx>
            <c:strRef>
              <c:f>'[国债企业债收益率-截至2024年05月.xls]Sheet0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'[国债企业债收益率-截至2024年05月.xls]Sheet0 (2)'!$A$222:$A$830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(2)'!$E$222:$E$830</c:f>
              <c:numCache>
                <c:formatCode>#,##0.00_ </c:formatCode>
                <c:ptCount val="609"/>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numCache>
            </c:numRef>
          </c:val>
          <c:smooth val="0"/>
        </c:ser>
        <c:dLbls>
          <c:showLegendKey val="0"/>
          <c:showVal val="0"/>
          <c:showCatName val="0"/>
          <c:showSerName val="0"/>
          <c:showPercent val="0"/>
          <c:showBubbleSize val="0"/>
        </c:dLbls>
        <c:marker val="0"/>
        <c:smooth val="0"/>
        <c:axId val="245912517"/>
        <c:axId val="187415785"/>
      </c:lineChart>
      <c:dateAx>
        <c:axId val="245912517"/>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87415785"/>
        <c:crosses val="autoZero"/>
        <c:auto val="1"/>
        <c:lblAlgn val="ctr"/>
        <c:lblOffset val="100"/>
        <c:baseTimeUnit val="days"/>
      </c:dateAx>
      <c:valAx>
        <c:axId val="187415785"/>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45912517"/>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'[国债企业债收益率-截至2024年05月.xls]Sheet0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'[国债企业债收益率-截至2024年05月.xls]Sheet0 (2)'!$G$222:$G$830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(2)'!$H$222:$H$830</c:f>
              <c:numCache>
                <c:formatCode>0.00_ </c:formatCode>
                <c:ptCount val="609"/>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numCache>
            </c:numRef>
          </c:val>
          <c:smooth val="0"/>
        </c:ser>
        <c:ser>
          <c:idx val="1"/>
          <c:order val="1"/>
          <c:tx>
            <c:strRef>
              <c:f>'[国债企业债收益率-截至2024年05月.xls]Sheet0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'[国债企业债收益率-截至2024年05月.xls]Sheet0 (2)'!$G$222:$G$830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(2)'!$I$222:$I$830</c:f>
              <c:numCache>
                <c:formatCode>0.00_ </c:formatCode>
                <c:ptCount val="609"/>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numCache>
            </c:numRef>
          </c:val>
          <c:smooth val="0"/>
        </c:ser>
        <c:ser>
          <c:idx val="2"/>
          <c:order val="2"/>
          <c:tx>
            <c:strRef>
              <c:f>'[国债企业债收益率-截至2024年05月.xls]Sheet0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'[国债企业债收益率-截至2024年05月.xls]Sheet0 (2)'!$G$222:$G$830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(2)'!$J$222:$J$830</c:f>
              <c:numCache>
                <c:formatCode>0.00_ </c:formatCode>
                <c:ptCount val="609"/>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numCache>
            </c:numRef>
          </c:val>
          <c:smooth val="0"/>
        </c:ser>
        <c:ser>
          <c:idx val="3"/>
          <c:order val="3"/>
          <c:tx>
            <c:strRef>
              <c:f>'[国债企业债收益率-截至2024年05月.xls]Sheet0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'[国债企业债收益率-截至2024年05月.xls]Sheet0 (2)'!$G$222:$G$830</c:f>
              <c:strCache>
                <c:ptCount val="609"/>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strCache>
            </c:strRef>
          </c:cat>
          <c:val>
            <c:numRef>
              <c:f>'[国债企业债收益率-截至2024年05月.xls]Sheet0 (2)'!$K$222:$K$830</c:f>
              <c:numCache>
                <c:formatCode>0.00_ </c:formatCode>
                <c:ptCount val="609"/>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numCache>
            </c:numRef>
          </c:val>
          <c:smooth val="0"/>
        </c:ser>
        <c:dLbls>
          <c:showLegendKey val="0"/>
          <c:showVal val="0"/>
          <c:showCatName val="0"/>
          <c:showSerName val="0"/>
          <c:showPercent val="0"/>
          <c:showBubbleSize val="0"/>
        </c:dLbls>
        <c:marker val="0"/>
        <c:smooth val="0"/>
        <c:axId val="420280782"/>
        <c:axId val="464635704"/>
      </c:lineChart>
      <c:catAx>
        <c:axId val="420280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64635704"/>
        <c:crosses val="autoZero"/>
        <c:auto val="1"/>
        <c:lblAlgn val="ctr"/>
        <c:lblOffset val="100"/>
        <c:tickLblSkip val="50"/>
        <c:noMultiLvlLbl val="0"/>
      </c:catAx>
      <c:valAx>
        <c:axId val="464635704"/>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0280782"/>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263113097138"/>
          <c:y val="0.0523943661971831"/>
          <c:w val="0.900138312586445"/>
          <c:h val="0.629370892018779"/>
        </c:manualLayout>
      </c:layout>
      <c:lineChart>
        <c:grouping val="standard"/>
        <c:varyColors val="0"/>
        <c:ser>
          <c:idx val="1"/>
          <c:order val="0"/>
          <c:tx>
            <c:strRef>
              <c:f>'[区域银行理财产品指数（202405）.xlsx]现金管理类指数'!$I$2</c:f>
              <c:strCache>
                <c:ptCount val="1"/>
                <c:pt idx="0">
                  <c:v>全国地区现金管理类产品收益指数</c:v>
                </c:pt>
              </c:strCache>
            </c:strRef>
          </c:tx>
          <c:spPr>
            <a:ln w="28575" cap="rnd">
              <a:solidFill>
                <a:srgbClr val="C00000"/>
              </a:solidFill>
              <a:round/>
            </a:ln>
            <a:effectLst/>
          </c:spPr>
          <c:marker>
            <c:symbol val="none"/>
          </c:marker>
          <c:dLbls>
            <c:delete val="1"/>
          </c:dLbls>
          <c:cat>
            <c:numRef>
              <c:f>'[区域银行理财产品指数（202405）.xlsx]现金管理类指数'!$A$3:$A$592</c:f>
              <c:numCache>
                <c:formatCode>yyyy/m/d</c:formatCode>
                <c:ptCount val="59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numCache>
            </c:numRef>
          </c:cat>
          <c:val>
            <c:numRef>
              <c:f>'[区域银行理财产品指数（202405）.xlsx]现金管理类指数'!$I$3:$I$592</c:f>
              <c:numCache>
                <c:formatCode>General</c:formatCode>
                <c:ptCount val="590"/>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66.8930557703945</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2"/>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0"/>
          <c:order val="0"/>
          <c:tx>
            <c:strRef>
              <c:f>'[区域银行理财产品指数（202405）.xlsx]固收整体'!$I$2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'[区域银行理财产品指数（202405）.xlsx]固收整体'!$A$3:$A$32</c:f>
              <c:numCache>
                <c:formatCode>yyyy\-mm</c:formatCode>
                <c:ptCount val="30"/>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numCache>
            </c:numRef>
          </c:cat>
          <c:val>
            <c:numRef>
              <c:f>'[区域银行理财产品指数（202405）.xlsx]固收整体'!$I$3:$I$32</c:f>
              <c:numCache>
                <c:formatCode>General</c:formatCode>
                <c:ptCount val="30"/>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ax val="110"/>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3698</Words>
  <Characters>4227</Characters>
  <Lines>13</Lines>
  <Paragraphs>3</Paragraphs>
  <TotalTime>40</TotalTime>
  <ScaleCrop>false</ScaleCrop>
  <LinksUpToDate>false</LinksUpToDate>
  <CharactersWithSpaces>4227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2024-06-14T06:19:25Z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7DBF179259514D43BD085DEB5F9D385C_13</vt:lpwstr>
  </property>
</Properties>
</file>