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6</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6</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收益继续下行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1.58</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持续下行</w:t>
      </w:r>
    </w:p>
    <w:p w14:paraId="666B94AA">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截至2024年6月，全国现金管理类产品月均七日年化收益率为1.93%，较上月环比下降5BP，较基期月均值下降96BP。</w:t>
      </w:r>
      <w:r>
        <w:rPr>
          <w:rFonts w:hint="eastAsia" w:ascii="楷体" w:hAnsi="楷体" w:eastAsia="楷体" w:cs="楷体"/>
          <w:sz w:val="24"/>
          <w:highlight w:val="none"/>
          <w:lang w:val="en-US" w:eastAsia="zh-CN"/>
        </w:rPr>
        <w:t>现金管理类产品底层资产收益不断下行，叠加近期银行理财底层资产监管趋严，收益延续下行趋势。</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073015" cy="2839085"/>
                  <wp:effectExtent l="5080" t="4445" r="825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3F8E4D40">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公开市场方面，6月有2370亿MLF到期，央行投放规模1820亿元，净回笼550亿元，利率仍维持在2.5%；6月央行逆回购净投放1360亿元，月末逆回购余额升至7500亿，处于近年同期偏高水平；央行公布6月PSL继续净归还1274亿元；并且考虑6月国库现金定存净回笼700亿元，预计6月央行对其他存款性公司债权环比下降约1200亿元。综合来看，预计6月超储率约1.4%，较5月上升0.2pct，但仍低于往年同期均值约0.2pct。</w:t>
      </w:r>
    </w:p>
    <w:p w14:paraId="20693C81">
      <w:pPr>
        <w:pStyle w:val="2"/>
        <w:rPr>
          <w:rFonts w:hint="eastAsia"/>
          <w:highlight w:val="none"/>
          <w:lang w:val="en-US" w:eastAsia="zh-CN"/>
        </w:rPr>
      </w:pPr>
    </w:p>
    <w:p w14:paraId="4AB735D3">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6月初DR007低于政策利率可能反映了大行融出价格约束的放松，但这在以往本就是常态，从DR007偏离的幅度来看也并不意味着降息即将到来。而在MLF与PSL的持续回笼下，6月超储率降至历年同期的最低水平，银行净融出也没有回到过去4万亿以上的高位，也反映了央行不希望资金面出现过度宽松的状态。6月初DR007低于政策利率一度引发降息预期升温，但历史上DR007下行领先于政策利率调降时其均值一般都是要低于降息后OMO利率，而6月上旬DR007仅低于OMO利率2BP左右，这在以往也是正常现象，更何况“资金利率——政策利率——存贷款利率”的传导链条在2023年末存款利率的调降后已经失效，因此这样的现象并不能指示降息将至。从另一个角度看，在4-5月1.8%成为DR007的下限可能来自于大行对于融出价格的控制，因此6月初DR007低于1.8%可能也反映了融出价格下限约束的放松。另一方面，从MLF以及PSL的持续净回笼来看，其对流动性的态度仍然相对中性，尤其是6月末的超储率可能已经降至1.4%，也是近年同期的最低水平，银行净融出也并没有回到过去4万亿以上的水平，这也反映了央行不希望资金面出现过度宽松的状态。</w:t>
      </w:r>
    </w:p>
    <w:p w14:paraId="13A318C4">
      <w:pPr>
        <w:widowControl/>
        <w:numPr>
          <w:ilvl w:val="0"/>
          <w:numId w:val="0"/>
        </w:num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en-US" w:eastAsia="zh-CN"/>
        </w:rPr>
        <w:t>6月政府债净融资规模较5月下降，与往年同期接近，但考虑6月广义财政赤字规模相对较高，预计政府存款将下降9100亿元，降幅高于往年同期均值；6月信贷投放大月带动缴准规模季节性增加，或将消耗超储2200亿元，对资金面的扰动较往年同期下降；6月现金回流或有所提速，预计货币发行减少500亿元，对资金面略有支撑，而外汇占款对流动性的影响仍然有限。</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1.58</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6</w:t>
      </w:r>
      <w:r>
        <w:rPr>
          <w:rFonts w:hint="eastAsia" w:ascii="楷体" w:hAnsi="楷体" w:eastAsia="楷体" w:cs="楷体"/>
          <w:color w:val="000000" w:themeColor="text1"/>
          <w:sz w:val="24"/>
          <w14:textFill>
            <w14:solidFill>
              <w14:schemeClr w14:val="tx1"/>
            </w14:solidFill>
          </w14:textFill>
        </w:rPr>
        <w:t>月，全国银行理财市场固收类产品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过去三个月投资收益为0.78%，较上月上升2BP；过去六个月投资收益为1.58%，较上月下降8BP，仍处于近半年较高水平。</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过去三个月投资收益为0.68%，较上月上升3BP；过去六个月投资收益达1.38%，较上月下降5BP。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过去三个月投资收益为0.81%，较上月上升3BP，展现出了一定的收益获取能力；过去六个月投资收益达1.66%，较上月10BP。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过去三个月投资收益为0.95%，较上月持平；过去六个月投资收益达1.90%，较上月下降11BP。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30C09BA1">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6月份，短、中期国债和短、中期企业债到期收益率均下降。具体来看，6月29日，6个月和1年期国债到期收益率分别为1.44%、1.54%，较5月底分别环比下降16.74BP、10.41BP；6个月AAA企业债和1年期AAA企业债到期收益率分别为1.96%和2.04%，较5月底分别环比下降3.86BP和4.30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2180" cy="2733675"/>
                  <wp:effectExtent l="4445" t="4445" r="15875" b="5080"/>
                  <wp:docPr id="13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6月份，2年期和10年期国债、2年期和10年期长期限企业债到期收益率均下降。具体来看，6月28日，2年期和10年期国债到期收益率为1.64%和2.20%，较5月底分别环比下降15.98BP和8.94BP；2年和10年期AAA企业债到期收益率为2.10%和2.49%，较5月底分别环比下降7.56BP和13.55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62500" cy="2869565"/>
                  <wp:effectExtent l="4445" t="4445" r="14605" b="2159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下行后略有回升</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6月，全国银行理财市场现金管理类产品收益指数下行后在月末略有回升，截至2024年6月28日，全国银行理财市场现金管理类产品收益指数为67.02，较上月环比上升0.86点，涨幅1.30%，较基期下降32.98点，下降32.98%。</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anchor distT="0" distB="0" distL="114300" distR="114300" simplePos="0" relativeHeight="251661312" behindDoc="0" locked="0" layoutInCell="1" allowOverlap="1">
                  <wp:simplePos x="0" y="0"/>
                  <wp:positionH relativeFrom="column">
                    <wp:posOffset>3652520</wp:posOffset>
                  </wp:positionH>
                  <wp:positionV relativeFrom="paragraph">
                    <wp:posOffset>97155</wp:posOffset>
                  </wp:positionV>
                  <wp:extent cx="1552575" cy="533400"/>
                  <wp:effectExtent l="0" t="0" r="9525" b="0"/>
                  <wp:wrapNone/>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2"/>
                          <a:stretch>
                            <a:fillRect/>
                          </a:stretch>
                        </pic:blipFill>
                        <pic:spPr>
                          <a:xfrm>
                            <a:off x="0" y="0"/>
                            <a:ext cx="1552575" cy="533400"/>
                          </a:xfrm>
                          <a:prstGeom prst="rect">
                            <a:avLst/>
                          </a:prstGeom>
                          <a:noFill/>
                          <a:ln>
                            <a:noFill/>
                          </a:ln>
                        </pic:spPr>
                      </pic:pic>
                    </a:graphicData>
                  </a:graphic>
                </wp:anchor>
              </w:drawing>
            </w:r>
            <w:r>
              <w:drawing>
                <wp:inline distT="0" distB="0" distL="114300" distR="114300">
                  <wp:extent cx="5271770" cy="2747645"/>
                  <wp:effectExtent l="4445" t="4445" r="19685" b="1016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持续上行</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6</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106.94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上升0.25</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6.94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6.94%</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0.23%</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0.78%</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1.58%</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3596005</wp:posOffset>
                  </wp:positionH>
                  <wp:positionV relativeFrom="paragraph">
                    <wp:posOffset>80010</wp:posOffset>
                  </wp:positionV>
                  <wp:extent cx="1390650" cy="533400"/>
                  <wp:effectExtent l="0" t="0" r="0" b="0"/>
                  <wp:wrapNone/>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4"/>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4781550" cy="3013075"/>
                  <wp:effectExtent l="4445" t="4445" r="14605" b="1143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分期限来看，6</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106.64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上升0.23</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涨幅0.22</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6.64</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6.64%；中期固收类产品收益指数为107.23点，环比上升0.26点，环比涨幅0.24%，指数较基期上升7.23点，增长7.23%；长期固收类产品收益指数为107.3</w:t>
      </w:r>
      <w:bookmarkStart w:id="1" w:name="_GoBack"/>
      <w:bookmarkEnd w:id="1"/>
      <w:r>
        <w:rPr>
          <w:rFonts w:hint="eastAsia" w:ascii="楷体" w:hAnsi="楷体" w:eastAsia="楷体" w:cs="楷体"/>
          <w:color w:val="000000" w:themeColor="text1"/>
          <w:sz w:val="24"/>
          <w:lang w:val="en-US" w:eastAsia="zh-CN"/>
          <w14:textFill>
            <w14:solidFill>
              <w14:schemeClr w14:val="tx1"/>
            </w14:solidFill>
          </w14:textFill>
        </w:rPr>
        <w:t>1点，环比上升0.27点，环比涨幅0.25%，指数较基期上升7.31点，增长7.31%。</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1.38%</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0.81%</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1.66%</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0.95%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1.90%</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1" r:id="rId29">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4" o:title=""/>
            <o:lock v:ext="edit" aspectratio="t"/>
            <w10:wrap type="none"/>
            <w10:anchorlock/>
          </v:shape>
          <o:OLEObject Type="Embed" ProgID="Equation.KSEE3" ShapeID="_x0000_i1033" DrawAspect="Content" ObjectID="_1468075733" r:id="rId33">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6" o:title=""/>
            <o:lock v:ext="edit" aspectratio="t"/>
            <w10:wrap type="none"/>
            <w10:anchorlock/>
          </v:shape>
          <o:OLEObject Type="Embed" ProgID="Equation.KSEE3" ShapeID="_x0000_i1034" DrawAspect="Content" ObjectID="_1468075734" r:id="rId35">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2VlYTk1MjAxOWNhZTRlMDdhYTdmMGQxNDY5ZWM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EE6E9A"/>
    <w:rsid w:val="08FC6215"/>
    <w:rsid w:val="09150170"/>
    <w:rsid w:val="09843C8B"/>
    <w:rsid w:val="098D41AA"/>
    <w:rsid w:val="09B94653"/>
    <w:rsid w:val="0A22765F"/>
    <w:rsid w:val="0A31663D"/>
    <w:rsid w:val="0A3B0017"/>
    <w:rsid w:val="0A611635"/>
    <w:rsid w:val="0ABD5F1F"/>
    <w:rsid w:val="0B235164"/>
    <w:rsid w:val="0B5525D6"/>
    <w:rsid w:val="0BC35326"/>
    <w:rsid w:val="0BF53C8B"/>
    <w:rsid w:val="0CA912FB"/>
    <w:rsid w:val="0CAE6F1F"/>
    <w:rsid w:val="0D2B2277"/>
    <w:rsid w:val="0D790629"/>
    <w:rsid w:val="0D825D10"/>
    <w:rsid w:val="0DE34399"/>
    <w:rsid w:val="0E5F1FDE"/>
    <w:rsid w:val="0E9E29B6"/>
    <w:rsid w:val="0EA93835"/>
    <w:rsid w:val="0EF34AB0"/>
    <w:rsid w:val="0F4B372F"/>
    <w:rsid w:val="0F5F0397"/>
    <w:rsid w:val="0F8356F6"/>
    <w:rsid w:val="0FC226D4"/>
    <w:rsid w:val="0FD86B39"/>
    <w:rsid w:val="0FEE78F2"/>
    <w:rsid w:val="10CA514A"/>
    <w:rsid w:val="10E50428"/>
    <w:rsid w:val="11266B4B"/>
    <w:rsid w:val="129B3B91"/>
    <w:rsid w:val="130A3724"/>
    <w:rsid w:val="13C32DA1"/>
    <w:rsid w:val="14342E34"/>
    <w:rsid w:val="1480391E"/>
    <w:rsid w:val="14EB1F9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964EA"/>
    <w:rsid w:val="18B52DD6"/>
    <w:rsid w:val="18F90150"/>
    <w:rsid w:val="1916056B"/>
    <w:rsid w:val="19E37072"/>
    <w:rsid w:val="19FE5CD3"/>
    <w:rsid w:val="1ABA058B"/>
    <w:rsid w:val="1AC67C71"/>
    <w:rsid w:val="1AF52BBE"/>
    <w:rsid w:val="1B1F1786"/>
    <w:rsid w:val="1B3664EA"/>
    <w:rsid w:val="1BD83EBC"/>
    <w:rsid w:val="1C2002E2"/>
    <w:rsid w:val="1C2F49B6"/>
    <w:rsid w:val="1CA034BD"/>
    <w:rsid w:val="1CE65B87"/>
    <w:rsid w:val="1CFC7225"/>
    <w:rsid w:val="1D4D37B5"/>
    <w:rsid w:val="1D5C5C9E"/>
    <w:rsid w:val="1DC60161"/>
    <w:rsid w:val="1DEC0A26"/>
    <w:rsid w:val="1E1D1F55"/>
    <w:rsid w:val="1E4532CA"/>
    <w:rsid w:val="1E4C7DC2"/>
    <w:rsid w:val="1E6F44CA"/>
    <w:rsid w:val="1E7A1067"/>
    <w:rsid w:val="1EEE7875"/>
    <w:rsid w:val="1F094F0C"/>
    <w:rsid w:val="1F415B52"/>
    <w:rsid w:val="1F775289"/>
    <w:rsid w:val="1F98623E"/>
    <w:rsid w:val="20124FB2"/>
    <w:rsid w:val="201721F5"/>
    <w:rsid w:val="206A094A"/>
    <w:rsid w:val="206D5E77"/>
    <w:rsid w:val="206F58BB"/>
    <w:rsid w:val="20AA214D"/>
    <w:rsid w:val="21617F9F"/>
    <w:rsid w:val="21EC5EE5"/>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176D65"/>
    <w:rsid w:val="281D0719"/>
    <w:rsid w:val="28280ABF"/>
    <w:rsid w:val="28332D7F"/>
    <w:rsid w:val="286A598B"/>
    <w:rsid w:val="28BC3374"/>
    <w:rsid w:val="29671ECA"/>
    <w:rsid w:val="298F257A"/>
    <w:rsid w:val="29BF7F53"/>
    <w:rsid w:val="29CC7F7F"/>
    <w:rsid w:val="2A1A6425"/>
    <w:rsid w:val="2A1D5B1A"/>
    <w:rsid w:val="2A4F4458"/>
    <w:rsid w:val="2A894729"/>
    <w:rsid w:val="2A9A4101"/>
    <w:rsid w:val="2AE94250"/>
    <w:rsid w:val="2AF21991"/>
    <w:rsid w:val="2B227E36"/>
    <w:rsid w:val="2B4A2C69"/>
    <w:rsid w:val="2BBE23F4"/>
    <w:rsid w:val="2BE7010A"/>
    <w:rsid w:val="2BF74302"/>
    <w:rsid w:val="2C0A59C8"/>
    <w:rsid w:val="2C41345C"/>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3802AE"/>
    <w:rsid w:val="31710D9C"/>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601DE"/>
    <w:rsid w:val="34140EA1"/>
    <w:rsid w:val="343E7C43"/>
    <w:rsid w:val="3474249F"/>
    <w:rsid w:val="34B54E13"/>
    <w:rsid w:val="34D5292D"/>
    <w:rsid w:val="352C1FEF"/>
    <w:rsid w:val="35590699"/>
    <w:rsid w:val="3564585C"/>
    <w:rsid w:val="35E82D0F"/>
    <w:rsid w:val="363E0065"/>
    <w:rsid w:val="367C3A34"/>
    <w:rsid w:val="36C56482"/>
    <w:rsid w:val="37136C8A"/>
    <w:rsid w:val="376B0D44"/>
    <w:rsid w:val="377655FB"/>
    <w:rsid w:val="3819071C"/>
    <w:rsid w:val="38415FDC"/>
    <w:rsid w:val="38C8225A"/>
    <w:rsid w:val="38D20CF3"/>
    <w:rsid w:val="38E33FD5"/>
    <w:rsid w:val="39636982"/>
    <w:rsid w:val="39795DE8"/>
    <w:rsid w:val="39914FE8"/>
    <w:rsid w:val="3A1B1711"/>
    <w:rsid w:val="3A84599A"/>
    <w:rsid w:val="3AB848A5"/>
    <w:rsid w:val="3AE64DDB"/>
    <w:rsid w:val="3AFD3A11"/>
    <w:rsid w:val="3AFD4854"/>
    <w:rsid w:val="3B021A53"/>
    <w:rsid w:val="3B445203"/>
    <w:rsid w:val="3B79633E"/>
    <w:rsid w:val="3C101F4E"/>
    <w:rsid w:val="3C8A0FF0"/>
    <w:rsid w:val="3C93031D"/>
    <w:rsid w:val="3CA03356"/>
    <w:rsid w:val="3D321D80"/>
    <w:rsid w:val="3D34424D"/>
    <w:rsid w:val="3D7E1BAC"/>
    <w:rsid w:val="3E3F09AD"/>
    <w:rsid w:val="3E5661DC"/>
    <w:rsid w:val="3E75105D"/>
    <w:rsid w:val="3EC3085F"/>
    <w:rsid w:val="3EDF15F3"/>
    <w:rsid w:val="3EE8674C"/>
    <w:rsid w:val="3EF10652"/>
    <w:rsid w:val="3F3B2ABF"/>
    <w:rsid w:val="3F457ABB"/>
    <w:rsid w:val="3F501217"/>
    <w:rsid w:val="3F5F1797"/>
    <w:rsid w:val="3FAD71CC"/>
    <w:rsid w:val="3FBA50C3"/>
    <w:rsid w:val="3FBA6DA0"/>
    <w:rsid w:val="3FCE1C4B"/>
    <w:rsid w:val="40132AC3"/>
    <w:rsid w:val="408110D3"/>
    <w:rsid w:val="40C41E8A"/>
    <w:rsid w:val="41115436"/>
    <w:rsid w:val="413B014E"/>
    <w:rsid w:val="414108DA"/>
    <w:rsid w:val="414803DC"/>
    <w:rsid w:val="41552871"/>
    <w:rsid w:val="41E46FD4"/>
    <w:rsid w:val="41E84399"/>
    <w:rsid w:val="41EB78A8"/>
    <w:rsid w:val="41F7515B"/>
    <w:rsid w:val="41FA6F58"/>
    <w:rsid w:val="421F2042"/>
    <w:rsid w:val="427B20EB"/>
    <w:rsid w:val="4298502E"/>
    <w:rsid w:val="42A21686"/>
    <w:rsid w:val="42F073B3"/>
    <w:rsid w:val="431935EC"/>
    <w:rsid w:val="43B9721F"/>
    <w:rsid w:val="444E7AB7"/>
    <w:rsid w:val="44897DBD"/>
    <w:rsid w:val="449256FE"/>
    <w:rsid w:val="44F17D02"/>
    <w:rsid w:val="44FC26CB"/>
    <w:rsid w:val="45450B59"/>
    <w:rsid w:val="457E617A"/>
    <w:rsid w:val="4596796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580CEC"/>
    <w:rsid w:val="499C3D77"/>
    <w:rsid w:val="49EE6E87"/>
    <w:rsid w:val="49F51FBF"/>
    <w:rsid w:val="4A0B1944"/>
    <w:rsid w:val="4A542A6C"/>
    <w:rsid w:val="4A587821"/>
    <w:rsid w:val="4A5A0D68"/>
    <w:rsid w:val="4A6A611B"/>
    <w:rsid w:val="4A912657"/>
    <w:rsid w:val="4AA845E5"/>
    <w:rsid w:val="4B106111"/>
    <w:rsid w:val="4B125CE2"/>
    <w:rsid w:val="4B187DA2"/>
    <w:rsid w:val="4B3403E9"/>
    <w:rsid w:val="4B864EBE"/>
    <w:rsid w:val="4BC34F7E"/>
    <w:rsid w:val="4BD905AE"/>
    <w:rsid w:val="4C110F00"/>
    <w:rsid w:val="4CFB4554"/>
    <w:rsid w:val="4D6E1DDE"/>
    <w:rsid w:val="4DDB0306"/>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AF548C"/>
    <w:rsid w:val="54305A92"/>
    <w:rsid w:val="543F19F5"/>
    <w:rsid w:val="54461671"/>
    <w:rsid w:val="54741E50"/>
    <w:rsid w:val="547A21C6"/>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A5D2664"/>
    <w:rsid w:val="5A8B4A50"/>
    <w:rsid w:val="5A9F6E67"/>
    <w:rsid w:val="5AF061B4"/>
    <w:rsid w:val="5B1C5572"/>
    <w:rsid w:val="5B4C6344"/>
    <w:rsid w:val="5B56533D"/>
    <w:rsid w:val="5B8267D1"/>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922529"/>
    <w:rsid w:val="61AF4EC6"/>
    <w:rsid w:val="61E16E01"/>
    <w:rsid w:val="621974FF"/>
    <w:rsid w:val="626B6941"/>
    <w:rsid w:val="628726BA"/>
    <w:rsid w:val="62B71C5C"/>
    <w:rsid w:val="62D41677"/>
    <w:rsid w:val="62F251EC"/>
    <w:rsid w:val="6341380F"/>
    <w:rsid w:val="63A147E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C3525E"/>
    <w:rsid w:val="67F00EBC"/>
    <w:rsid w:val="68535CA7"/>
    <w:rsid w:val="687F5CCC"/>
    <w:rsid w:val="68C873DC"/>
    <w:rsid w:val="68F128B4"/>
    <w:rsid w:val="696668F3"/>
    <w:rsid w:val="69E66368"/>
    <w:rsid w:val="69F97D3B"/>
    <w:rsid w:val="69FE5C3C"/>
    <w:rsid w:val="6A173BFF"/>
    <w:rsid w:val="6AD85B33"/>
    <w:rsid w:val="6AE04A70"/>
    <w:rsid w:val="6AE94BCC"/>
    <w:rsid w:val="6B0E619E"/>
    <w:rsid w:val="6B421874"/>
    <w:rsid w:val="6BCA7D47"/>
    <w:rsid w:val="6CC31B16"/>
    <w:rsid w:val="6CE16C69"/>
    <w:rsid w:val="6D090170"/>
    <w:rsid w:val="6D1A3680"/>
    <w:rsid w:val="6D2A25C0"/>
    <w:rsid w:val="6D3B6042"/>
    <w:rsid w:val="6DB63E53"/>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57CFF"/>
    <w:rsid w:val="75177AF0"/>
    <w:rsid w:val="752805E3"/>
    <w:rsid w:val="759A405B"/>
    <w:rsid w:val="759C05CE"/>
    <w:rsid w:val="75B3629E"/>
    <w:rsid w:val="75D52F1F"/>
    <w:rsid w:val="75E76FA0"/>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13AD5"/>
    <w:rsid w:val="78F458AA"/>
    <w:rsid w:val="7A560E98"/>
    <w:rsid w:val="7AD520AB"/>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wmf"/><Relationship Id="rId35" Type="http://schemas.openxmlformats.org/officeDocument/2006/relationships/oleObject" Target="embeddings/oleObject10.bin"/><Relationship Id="rId34" Type="http://schemas.openxmlformats.org/officeDocument/2006/relationships/image" Target="media/image12.wmf"/><Relationship Id="rId33" Type="http://schemas.openxmlformats.org/officeDocument/2006/relationships/oleObject" Target="embeddings/oleObject9.bin"/><Relationship Id="rId32" Type="http://schemas.openxmlformats.org/officeDocument/2006/relationships/image" Target="media/image11.wmf"/><Relationship Id="rId31" Type="http://schemas.openxmlformats.org/officeDocument/2006/relationships/oleObject" Target="embeddings/oleObject8.bin"/><Relationship Id="rId30" Type="http://schemas.openxmlformats.org/officeDocument/2006/relationships/image" Target="media/image10.wmf"/><Relationship Id="rId3" Type="http://schemas.openxmlformats.org/officeDocument/2006/relationships/theme" Target="theme/theme1.xml"/><Relationship Id="rId29" Type="http://schemas.openxmlformats.org/officeDocument/2006/relationships/oleObject" Target="embeddings/oleObject7.bin"/><Relationship Id="rId28" Type="http://schemas.openxmlformats.org/officeDocument/2006/relationships/image" Target="media/image9.wmf"/><Relationship Id="rId27" Type="http://schemas.openxmlformats.org/officeDocument/2006/relationships/oleObject" Target="embeddings/oleObject6.bin"/><Relationship Id="rId26" Type="http://schemas.openxmlformats.org/officeDocument/2006/relationships/image" Target="media/image8.wmf"/><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image" Target="media/image3.emf"/><Relationship Id="rId13" Type="http://schemas.openxmlformats.org/officeDocument/2006/relationships/chart" Target="charts/chart8.xml"/><Relationship Id="rId12" Type="http://schemas.openxmlformats.org/officeDocument/2006/relationships/image" Target="media/image2.emf"/><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6&#26376;\&#20840;&#22269;&#25351;&#25968;\&#22269;&#20538;&#20225;&#19994;&#20538;&#25910;&#30410;&#29575;-&#25130;&#33267;2024&#24180;06&#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6&#26376;\&#20840;&#22269;&#25351;&#25968;\&#22269;&#20538;&#20225;&#19994;&#20538;&#25910;&#30410;&#29575;-&#25130;&#33267;2024&#24180;06&#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3828;&#30427;&#24742;\&#24037;&#20316;&#20869;&#23481;\2024&#26032;&#29256;&#25351;&#25968;\2024&#24180;6&#26376;\&#25351;&#25968;&#25968;&#25454;\&#21306;&#22495;&#38134;&#34892;&#29702;&#36130;&#20135;&#21697;&#25351;&#25968;&#65288;20240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'[区域银行理财产品指数（202406）.xlsx]现金-单产品收益表现'!$C$34</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'[区域银行理财产品指数（202406）.xlsx]现金-单产品收益表现'!$B$35:$B$64</c:f>
              <c:strCache>
                <c:ptCount val="30"/>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pt idx="29" c:formatCode="@">
                  <c:v>2024-6</c:v>
                </c:pt>
              </c:strCache>
            </c:strRef>
          </c:cat>
          <c:val>
            <c:numRef>
              <c:f>'[区域银行理财产品指数（202406）.xlsx]现金-单产品收益表现'!$C$35:$C$64</c:f>
              <c:numCache>
                <c:formatCode>0.00_ </c:formatCode>
                <c:ptCount val="30"/>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pt idx="29">
                  <c:v>1.93372618071193</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'[区域银行理财产品指数（202406）.xlsx]固收类产品指数'!$M$2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'[区域银行理财产品指数（202406）.xlsx]固收类产品指数'!$A$3:$A$33</c:f>
              <c:numCache>
                <c:formatCode>yyyy"年"m"月";@</c:formatCode>
                <c:ptCount val="3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numCache>
            </c:numRef>
          </c:cat>
          <c:val>
            <c:numRef>
              <c:f>'[区域银行理财产品指数（202406）.xlsx]固收类产品指数'!$M$3:$M$33</c:f>
              <c:numCache>
                <c:formatCode>0.00_);[Red]\(0.00\)</c:formatCode>
                <c:ptCount val="31"/>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numCache>
            </c:numRef>
          </c:val>
          <c:smooth val="0"/>
        </c:ser>
        <c:ser>
          <c:idx val="1"/>
          <c:order val="1"/>
          <c:tx>
            <c:strRef>
              <c:f>'[区域银行理财产品指数（202406）.xlsx]固收类产品指数'!$N$2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'[区域银行理财产品指数（202406）.xlsx]固收类产品指数'!$A$3:$A$33</c:f>
              <c:numCache>
                <c:formatCode>yyyy"年"m"月";@</c:formatCode>
                <c:ptCount val="3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numCache>
            </c:numRef>
          </c:cat>
          <c:val>
            <c:numRef>
              <c:f>'[区域银行理财产品指数（202406）.xlsx]固收类产品指数'!$N$3:$N$33</c:f>
              <c:numCache>
                <c:formatCode>0.00_);[Red]\(0.00\)</c:formatCode>
                <c:ptCount val="31"/>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numCache>
            </c:numRef>
          </c:val>
          <c:smooth val="0"/>
        </c:ser>
        <c:ser>
          <c:idx val="2"/>
          <c:order val="2"/>
          <c:tx>
            <c:strRef>
              <c:f>'[区域银行理财产品指数（202406）.xlsx]固收类产品指数'!$O$2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'[区域银行理财产品指数（202406）.xlsx]固收类产品指数'!$A$3:$A$33</c:f>
              <c:numCache>
                <c:formatCode>yyyy"年"m"月";@</c:formatCode>
                <c:ptCount val="3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numCache>
            </c:numRef>
          </c:cat>
          <c:val>
            <c:numRef>
              <c:f>'[区域银行理财产品指数（202406）.xlsx]固收类产品指数'!$O$3:$O$33</c:f>
              <c:numCache>
                <c:formatCode>0.00_);[Red]\(0.00\)</c:formatCode>
                <c:ptCount val="31"/>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numCache>
            </c:numRef>
          </c:val>
          <c:smooth val="0"/>
        </c:ser>
        <c:ser>
          <c:idx val="3"/>
          <c:order val="3"/>
          <c:tx>
            <c:strRef>
              <c:f>'[区域银行理财产品指数（202406）.xlsx]固收类产品指数'!$P$2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'[区域银行理财产品指数（202406）.xlsx]固收类产品指数'!$A$3:$A$33</c:f>
              <c:numCache>
                <c:formatCode>yyyy"年"m"月";@</c:formatCode>
                <c:ptCount val="31"/>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numCache>
            </c:numRef>
          </c:cat>
          <c:val>
            <c:numRef>
              <c:f>'[区域银行理财产品指数（202406）.xlsx]固收类产品指数'!$P$3:$P$33</c:f>
              <c:numCache>
                <c:formatCode>0.00_);[Red]\(0.00\)</c:formatCode>
                <c:ptCount val="31"/>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'[区域银行理财产品指数（202406）.xlsx]全国固收指数收益'!$O$2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'[区域银行理财产品指数（202406）.xlsx]全国固收指数收益'!$O$25:$O$30</c:f>
              <c:numCache>
                <c:formatCode>0.00%</c:formatCode>
                <c:ptCount val="6"/>
                <c:pt idx="0">
                  <c:v>0.00840335208388268</c:v>
                </c:pt>
                <c:pt idx="1">
                  <c:v>0.00897419658228041</c:v>
                </c:pt>
                <c:pt idx="2">
                  <c:v>0.00798213443790898</c:v>
                </c:pt>
                <c:pt idx="3">
                  <c:v>0.00820726893021497</c:v>
                </c:pt>
                <c:pt idx="4">
                  <c:v>0.0075966101737599</c:v>
                </c:pt>
                <c:pt idx="5">
                  <c:v>0.00777852746367387</c:v>
                </c:pt>
              </c:numCache>
            </c:numRef>
          </c:val>
        </c:ser>
        <c:ser>
          <c:idx val="1"/>
          <c:order val="1"/>
          <c:tx>
            <c:strRef>
              <c:f>'[区域银行理财产品指数（202406）.xlsx]全国固收指数收益'!$P$2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'[区域银行理财产品指数（202406）.xlsx]全国固收指数收益'!$P$25:$P$30</c:f>
              <c:numCache>
                <c:formatCode>0.00%</c:formatCode>
                <c:ptCount val="6"/>
                <c:pt idx="0">
                  <c:v>0.0131929892146216</c:v>
                </c:pt>
                <c:pt idx="1">
                  <c:v>0.0141408964512421</c:v>
                </c:pt>
                <c:pt idx="2">
                  <c:v>0.0153963282371468</c:v>
                </c:pt>
                <c:pt idx="3">
                  <c:v>0.0166795895845654</c:v>
                </c:pt>
                <c:pt idx="4">
                  <c:v>0.0166389802290986</c:v>
                </c:pt>
                <c:pt idx="5">
                  <c:v>0.0158227511535269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'[区域银行理财产品指数（202406）.xlsx]全国固收指数收益'!$I$2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'[区域银行理财产品指数（202406）.xlsx]全国固收指数收益'!$I$25:$I$30</c:f>
              <c:numCache>
                <c:formatCode>0.00%</c:formatCode>
                <c:ptCount val="6"/>
                <c:pt idx="0">
                  <c:v>0.00734359865829826</c:v>
                </c:pt>
                <c:pt idx="1">
                  <c:v>0.00774822176067258</c:v>
                </c:pt>
                <c:pt idx="2">
                  <c:v>0.00696723541258468</c:v>
                </c:pt>
                <c:pt idx="3">
                  <c:v>0.00679633688286679</c:v>
                </c:pt>
                <c:pt idx="4">
                  <c:v>0.00652735564801272</c:v>
                </c:pt>
                <c:pt idx="5">
                  <c:v>0.0067855161871538</c:v>
                </c:pt>
              </c:numCache>
            </c:numRef>
          </c:val>
        </c:ser>
        <c:ser>
          <c:idx val="1"/>
          <c:order val="1"/>
          <c:tx>
            <c:strRef>
              <c:f>'[区域银行理财产品指数（202406）.xlsx]全国固收指数收益'!$J$2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'[区域银行理财产品指数（202406）.xlsx]全国固收指数收益'!$J$25:$J$30</c:f>
              <c:numCache>
                <c:formatCode>0.00%</c:formatCode>
                <c:ptCount val="6"/>
                <c:pt idx="0">
                  <c:v>0.0127100872158051</c:v>
                </c:pt>
                <c:pt idx="1">
                  <c:v>0.0129980518145481</c:v>
                </c:pt>
                <c:pt idx="2">
                  <c:v>0.0136887556633518</c:v>
                </c:pt>
                <c:pt idx="3">
                  <c:v>0.0141898451115794</c:v>
                </c:pt>
                <c:pt idx="4">
                  <c:v>0.0143261528077569</c:v>
                </c:pt>
                <c:pt idx="5">
                  <c:v>0.0138000278884103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'[区域银行理财产品指数（202406）.xlsx]全国固收指数收益'!$K$2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'[区域银行理财产品指数（202406）.xlsx]全国固收指数收益'!$K$25:$K$30</c:f>
              <c:numCache>
                <c:formatCode>0.00%</c:formatCode>
                <c:ptCount val="6"/>
                <c:pt idx="0">
                  <c:v>0.00928642715929025</c:v>
                </c:pt>
                <c:pt idx="1">
                  <c:v>0.00978503986034499</c:v>
                </c:pt>
                <c:pt idx="2">
                  <c:v>0.00847030354486078</c:v>
                </c:pt>
                <c:pt idx="3">
                  <c:v>0.00838992602037604</c:v>
                </c:pt>
                <c:pt idx="4">
                  <c:v>0.00777673646425675</c:v>
                </c:pt>
                <c:pt idx="5">
                  <c:v>0.00810345018694705</c:v>
                </c:pt>
              </c:numCache>
            </c:numRef>
          </c:val>
        </c:ser>
        <c:ser>
          <c:idx val="1"/>
          <c:order val="1"/>
          <c:tx>
            <c:strRef>
              <c:f>'[区域银行理财产品指数（202406）.xlsx]全国固收指数收益'!$L$2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'[区域银行理财产品指数（202406）.xlsx]全国固收指数收益'!$L$25:$L$30</c:f>
              <c:numCache>
                <c:formatCode>0.00%</c:formatCode>
                <c:ptCount val="6"/>
                <c:pt idx="0">
                  <c:v>0.0146865884488126</c:v>
                </c:pt>
                <c:pt idx="1">
                  <c:v>0.0153422100349861</c:v>
                </c:pt>
                <c:pt idx="2">
                  <c:v>0.0166301166560503</c:v>
                </c:pt>
                <c:pt idx="3">
                  <c:v>0.0177542656165263</c:v>
                </c:pt>
                <c:pt idx="4">
                  <c:v>0.0176378720008879</c:v>
                </c:pt>
                <c:pt idx="5">
                  <c:v>0.0166423924146519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'[区域银行理财产品指数（202406）.xlsx]全国固收指数收益'!$M$2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'[区域银行理财产品指数（202406）.xlsx]全国固收指数收益'!$M$25:$M$30</c:f>
              <c:numCache>
                <c:formatCode>0.00%</c:formatCode>
                <c:ptCount val="6"/>
                <c:pt idx="0">
                  <c:v>0.00955446939856695</c:v>
                </c:pt>
                <c:pt idx="1">
                  <c:v>0.0105257324907961</c:v>
                </c:pt>
                <c:pt idx="2">
                  <c:v>0.00942013258633275</c:v>
                </c:pt>
                <c:pt idx="3">
                  <c:v>0.0105832814303376</c:v>
                </c:pt>
                <c:pt idx="4">
                  <c:v>0.00946572727217155</c:v>
                </c:pt>
                <c:pt idx="5">
                  <c:v>0.00946615927236518</c:v>
                </c:pt>
              </c:numCache>
            </c:numRef>
          </c:val>
        </c:ser>
        <c:ser>
          <c:idx val="1"/>
          <c:order val="1"/>
          <c:tx>
            <c:strRef>
              <c:f>'[区域银行理财产品指数（202406）.xlsx]全国固收指数收益'!$N$2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'[区域银行理财产品指数（202406）.xlsx]全国固收指数收益'!$H$25:$H$30</c:f>
              <c:strCache>
                <c:ptCount val="6"/>
                <c:pt idx="0" c:formatCode="@">
                  <c:v>2024-01</c:v>
                </c:pt>
                <c:pt idx="1" c:formatCode="@">
                  <c:v>2024-02</c:v>
                </c:pt>
                <c:pt idx="2" c:formatCode="@">
                  <c:v>2024-03</c:v>
                </c:pt>
                <c:pt idx="3" c:formatCode="@">
                  <c:v>2024-04</c:v>
                </c:pt>
                <c:pt idx="4" c:formatCode="@">
                  <c:v>2024-05</c:v>
                </c:pt>
                <c:pt idx="5" c:formatCode="@">
                  <c:v>2024-06</c:v>
                </c:pt>
              </c:strCache>
            </c:strRef>
          </c:cat>
          <c:val>
            <c:numRef>
              <c:f>'[区域银行理财产品指数（202406）.xlsx]全国固收指数收益'!$N$25:$N$30</c:f>
              <c:numCache>
                <c:formatCode>0.00%</c:formatCode>
                <c:ptCount val="6"/>
                <c:pt idx="0">
                  <c:v>0.0131909273958515</c:v>
                </c:pt>
                <c:pt idx="1">
                  <c:v>0.0154165154563744</c:v>
                </c:pt>
                <c:pt idx="2">
                  <c:v>0.0175030854068628</c:v>
                </c:pt>
                <c:pt idx="3">
                  <c:v>0.0202388684674671</c:v>
                </c:pt>
                <c:pt idx="4">
                  <c:v>0.0200910934760653</c:v>
                </c:pt>
                <c:pt idx="5">
                  <c:v>0.018975464334127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'[国债企业债收益率-截至2024年06月.xls]Sheet0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(2)'!$B$222:$B$849</c:f>
              <c:numCache>
                <c:formatCode>#,##0.00_ </c:formatCode>
                <c:ptCount val="628"/>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numCache>
            </c:numRef>
          </c:val>
          <c:smooth val="0"/>
        </c:ser>
        <c:ser>
          <c:idx val="1"/>
          <c:order val="1"/>
          <c:tx>
            <c:strRef>
              <c:f>'[国债企业债收益率-截至2024年06月.xls]Sheet0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(2)'!$C$222:$C$849</c:f>
              <c:numCache>
                <c:formatCode>#,##0.00_ </c:formatCode>
                <c:ptCount val="628"/>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numCache>
            </c:numRef>
          </c:val>
          <c:smooth val="0"/>
        </c:ser>
        <c:ser>
          <c:idx val="2"/>
          <c:order val="2"/>
          <c:tx>
            <c:strRef>
              <c:f>'[国债企业债收益率-截至2024年06月.xls]Sheet0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(2)'!$D$222:$D$849</c:f>
              <c:numCache>
                <c:formatCode>#,##0.00_ </c:formatCode>
                <c:ptCount val="628"/>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numCache>
            </c:numRef>
          </c:val>
          <c:smooth val="0"/>
        </c:ser>
        <c:ser>
          <c:idx val="3"/>
          <c:order val="3"/>
          <c:tx>
            <c:strRef>
              <c:f>'[国债企业债收益率-截至2024年06月.xls]Sheet0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(2)'!$E$222:$E$849</c:f>
              <c:numCache>
                <c:formatCode>#,##0.00_ </c:formatCode>
                <c:ptCount val="628"/>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numCache>
            </c:numRef>
          </c:val>
          <c:smooth val="0"/>
        </c:ser>
        <c:dLbls>
          <c:showLegendKey val="0"/>
          <c:showVal val="0"/>
          <c:showCatName val="0"/>
          <c:showSerName val="0"/>
          <c:showPercent val="0"/>
          <c:showBubbleSize val="0"/>
        </c:dLbls>
        <c:marker val="0"/>
        <c:smooth val="0"/>
        <c:axId val="447324001"/>
        <c:axId val="155743785"/>
      </c:lineChart>
      <c:dateAx>
        <c:axId val="447324001"/>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55743785"/>
        <c:crosses val="autoZero"/>
        <c:auto val="1"/>
        <c:lblAlgn val="ctr"/>
        <c:lblOffset val="100"/>
        <c:baseTimeUnit val="days"/>
      </c:dateAx>
      <c:valAx>
        <c:axId val="155743785"/>
        <c:scaling>
          <c:orientation val="minMax"/>
          <c:min val="1.4"/>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47324001"/>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'[国债企业债收益率-截至2024年06月.xls]Sheet0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'[国债企业债收益率-截至2024年06月.xls]Sheet0 (2)'!$G$222:$G$849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(2)'!$H$222:$H$849</c:f>
              <c:numCache>
                <c:formatCode>0.00_ </c:formatCode>
                <c:ptCount val="628"/>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numCache>
            </c:numRef>
          </c:val>
          <c:smooth val="0"/>
        </c:ser>
        <c:ser>
          <c:idx val="1"/>
          <c:order val="1"/>
          <c:tx>
            <c:strRef>
              <c:f>'[国债企业债收益率-截至2024年06月.xls]Sheet0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'[国债企业债收益率-截至2024年06月.xls]Sheet0 (2)'!$G$222:$G$849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(2)'!$I$222:$I$849</c:f>
              <c:numCache>
                <c:formatCode>0.00_ </c:formatCode>
                <c:ptCount val="628"/>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numCache>
            </c:numRef>
          </c:val>
          <c:smooth val="0"/>
        </c:ser>
        <c:ser>
          <c:idx val="2"/>
          <c:order val="2"/>
          <c:tx>
            <c:strRef>
              <c:f>'[国债企业债收益率-截至2024年06月.xls]Sheet0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'[国债企业债收益率-截至2024年06月.xls]Sheet0 (2)'!$G$222:$G$849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(2)'!$J$222:$J$849</c:f>
              <c:numCache>
                <c:formatCode>0.00_ </c:formatCode>
                <c:ptCount val="628"/>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numCache>
            </c:numRef>
          </c:val>
          <c:smooth val="0"/>
        </c:ser>
        <c:ser>
          <c:idx val="3"/>
          <c:order val="3"/>
          <c:tx>
            <c:strRef>
              <c:f>'[国债企业债收益率-截至2024年06月.xls]Sheet0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'[国债企业债收益率-截至2024年06月.xls]Sheet0 (2)'!$G$222:$G$849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(2)'!$K$222:$K$849</c:f>
              <c:numCache>
                <c:formatCode>0.00_ </c:formatCode>
                <c:ptCount val="628"/>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numCache>
            </c:numRef>
          </c:val>
          <c:smooth val="0"/>
        </c:ser>
        <c:dLbls>
          <c:showLegendKey val="0"/>
          <c:showVal val="0"/>
          <c:showCatName val="0"/>
          <c:showSerName val="0"/>
          <c:showPercent val="0"/>
          <c:showBubbleSize val="0"/>
        </c:dLbls>
        <c:marker val="0"/>
        <c:smooth val="0"/>
        <c:axId val="844313407"/>
        <c:axId val="628177709"/>
      </c:lineChart>
      <c:catAx>
        <c:axId val="844313407"/>
        <c:scaling>
          <c:orientation val="minMax"/>
        </c:scaling>
        <c:delete val="0"/>
        <c:axPos val="b"/>
        <c:majorTickMark val="none"/>
        <c:minorTickMark val="in"/>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28177709"/>
        <c:crosses val="autoZero"/>
        <c:auto val="1"/>
        <c:lblAlgn val="ctr"/>
        <c:lblOffset val="100"/>
        <c:tickLblSkip val="50"/>
        <c:noMultiLvlLbl val="0"/>
      </c:catAx>
      <c:valAx>
        <c:axId val="628177709"/>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4313407"/>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263113097138"/>
          <c:y val="0.0523943661971831"/>
          <c:w val="0.900138312586445"/>
          <c:h val="0.629370892018779"/>
        </c:manualLayout>
      </c:layout>
      <c:lineChart>
        <c:grouping val="standard"/>
        <c:varyColors val="0"/>
        <c:ser>
          <c:idx val="1"/>
          <c:order val="0"/>
          <c:tx>
            <c:strRef>
              <c:f>'[区域银行理财产品指数（202406）.xlsx]现金管理类指数'!$I$2</c:f>
              <c:strCache>
                <c:ptCount val="1"/>
                <c:pt idx="0">
                  <c:v>全国地区现金管理类产品收益指数</c:v>
                </c:pt>
              </c:strCache>
            </c:strRef>
          </c:tx>
          <c:spPr>
            <a:ln w="28575" cap="rnd">
              <a:solidFill>
                <a:srgbClr val="C00000"/>
              </a:solidFill>
              <a:round/>
            </a:ln>
            <a:effectLst/>
          </c:spPr>
          <c:marker>
            <c:symbol val="none"/>
          </c:marker>
          <c:dLbls>
            <c:delete val="1"/>
          </c:dLbls>
          <c:cat>
            <c:numRef>
              <c:f>'[区域银行理财产品指数（202406）.xlsx]现金管理类指数'!$A$3:$A$611</c:f>
              <c:numCache>
                <c:formatCode>yyyy/m/d</c:formatCode>
                <c:ptCount val="609"/>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numCache>
            </c:numRef>
          </c:cat>
          <c:val>
            <c:numRef>
              <c:f>'[区域银行理财产品指数（202406）.xlsx]现金管理类指数'!$I$3:$I$611</c:f>
              <c:numCache>
                <c:formatCode>General</c:formatCode>
                <c:ptCount val="609"/>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66.7674990126297</c:v>
                </c:pt>
                <c:pt idx="590" c:formatCode="0.00_ ">
                  <c:v>66.5156341909895</c:v>
                </c:pt>
                <c:pt idx="591" c:formatCode="0.00_ ">
                  <c:v>66.5000784702672</c:v>
                </c:pt>
                <c:pt idx="592" c:formatCode="0.00_ ">
                  <c:v>66.5373332490248</c:v>
                </c:pt>
                <c:pt idx="593" c:formatCode="0.00_ ">
                  <c:v>66.4984100402518</c:v>
                </c:pt>
                <c:pt idx="594" c:formatCode="0.00_ ">
                  <c:v>66.3823615710306</c:v>
                </c:pt>
                <c:pt idx="595" c:formatCode="0.00_ ">
                  <c:v>65.5200012917244</c:v>
                </c:pt>
                <c:pt idx="596" c:formatCode="0.00_ ">
                  <c:v>65.676859982254</c:v>
                </c:pt>
                <c:pt idx="597" c:formatCode="0.00_ ">
                  <c:v>65.7413459585221</c:v>
                </c:pt>
                <c:pt idx="598" c:formatCode="0.00_ ">
                  <c:v>65.5887038033437</c:v>
                </c:pt>
                <c:pt idx="599" c:formatCode="0.00_ ">
                  <c:v>65.5477066489468</c:v>
                </c:pt>
                <c:pt idx="600" c:formatCode="0.00_ ">
                  <c:v>65.2327313179812</c:v>
                </c:pt>
                <c:pt idx="601" c:formatCode="0.00_ ">
                  <c:v>65.2942674718929</c:v>
                </c:pt>
                <c:pt idx="602" c:formatCode="0.00_ ">
                  <c:v>65.3471159114249</c:v>
                </c:pt>
                <c:pt idx="603" c:formatCode="0.00_ ">
                  <c:v>65.7250873733276</c:v>
                </c:pt>
                <c:pt idx="604" c:formatCode="0.00_ ">
                  <c:v>65.9508215073444</c:v>
                </c:pt>
                <c:pt idx="605" c:formatCode="0.00_ ">
                  <c:v>66.1465102341233</c:v>
                </c:pt>
                <c:pt idx="606" c:formatCode="0.00_ ">
                  <c:v>66.4274144534743</c:v>
                </c:pt>
                <c:pt idx="607" c:formatCode="0.00_ ">
                  <c:v>66.918345327461</c:v>
                </c:pt>
                <c:pt idx="608" c:formatCode="0.00_ ">
                  <c:v>67.0229048824996</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max val="45473"/>
        </c:scaling>
        <c:delete val="0"/>
        <c:axPos val="b"/>
        <c:numFmt formatCode="m/d/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2"/>
        <c:majorTimeUnit val="months"/>
        <c:minorUnit val="1"/>
        <c:minor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0"/>
          <c:order val="0"/>
          <c:tx>
            <c:strRef>
              <c:f>'[区域银行理财产品指数（202406）.xlsx]固收整体'!$I$2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'[区域银行理财产品指数（202406）.xlsx]固收整体'!$A$3:$A$33</c:f>
              <c:numCache>
                <c:formatCode>yyyy\-mm</c:formatCode>
                <c:ptCount val="31"/>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numCache>
            </c:numRef>
          </c:cat>
          <c:val>
            <c:numRef>
              <c:f>'[区域银行理财产品指数（202406）.xlsx]固收整体'!$I$3:$I$33</c:f>
              <c:numCache>
                <c:formatCode>General</c:formatCode>
                <c:ptCount val="31"/>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ax val="110"/>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majorUnit val="2"/>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3479</Words>
  <Characters>3915</Characters>
  <Lines>13</Lines>
  <Paragraphs>3</Paragraphs>
  <TotalTime>1</TotalTime>
  <ScaleCrop>false</ScaleCrop>
  <LinksUpToDate>false</LinksUpToDate>
  <CharactersWithSpaces>3915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深瀬桃</cp:lastModifiedBy>
  <cp:lastPrinted>2021-04-27T17:24:00Z</cp:lastPrinted>
  <dcterms:modified xsi:type="dcterms:W3CDTF">2024-07-15T06:29:42Z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7DBF179259514D43BD085DEB5F9D385C_13</vt:lpwstr>
  </property>
</Properties>
</file>