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8</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8</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收益持续下行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1.34</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继续下行</w:t>
      </w:r>
    </w:p>
    <w:p w14:paraId="666B94AA">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截至2024年8月，全国现金管理类产品月均七日年化收益率为1.81%，较上月环比下降7BP，较基期月均值下降108BP。8</w:t>
      </w:r>
      <w:r>
        <w:rPr>
          <w:rFonts w:hint="eastAsia" w:ascii="楷体" w:hAnsi="楷体" w:eastAsia="楷体" w:cs="楷体"/>
          <w:sz w:val="24"/>
          <w:highlight w:val="none"/>
          <w:lang w:val="en-US" w:eastAsia="zh-CN"/>
        </w:rPr>
        <w:t>月，</w:t>
      </w:r>
      <w:r>
        <w:rPr>
          <w:rFonts w:hint="eastAsia" w:ascii="楷体" w:hAnsi="楷体" w:eastAsia="楷体" w:cs="楷体"/>
          <w:sz w:val="24"/>
          <w:highlight w:val="none"/>
        </w:rPr>
        <w:t>资金面整体呈M型走势</w:t>
      </w:r>
      <w:r>
        <w:rPr>
          <w:rFonts w:hint="eastAsia" w:ascii="楷体" w:hAnsi="楷体" w:eastAsia="楷体" w:cs="楷体"/>
          <w:sz w:val="24"/>
          <w:lang w:val="en-US" w:eastAsia="zh-CN"/>
        </w:rPr>
        <w:t>，整体均衡宽松，资金利率略有下行，</w:t>
      </w:r>
      <w:r>
        <w:rPr>
          <w:rFonts w:hint="eastAsia" w:ascii="楷体" w:hAnsi="楷体" w:eastAsia="楷体" w:cs="楷体"/>
          <w:sz w:val="24"/>
          <w:highlight w:val="none"/>
          <w:lang w:val="en-US" w:eastAsia="zh-CN"/>
        </w:rPr>
        <w:t>因此全国地区现金管理类产品平均近7日年化收益率本月整体继续下行。</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25415" cy="3104515"/>
                  <wp:effectExtent l="5080" t="4445" r="825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7A0962C1">
      <w:pPr>
        <w:widowControl/>
        <w:numPr>
          <w:ilvl w:val="0"/>
          <w:numId w:val="0"/>
        </w:numPr>
        <w:spacing w:line="360" w:lineRule="auto"/>
        <w:ind w:firstLine="480" w:firstLineChars="200"/>
        <w:jc w:val="left"/>
        <w:rPr>
          <w:rFonts w:hint="eastAsia" w:ascii="楷体" w:hAnsi="楷体" w:eastAsia="楷体" w:cs="楷体"/>
          <w:sz w:val="24"/>
          <w:highlight w:val="none"/>
          <w:lang w:val="en-US" w:eastAsia="zh-CN" w:bidi="ar"/>
        </w:rPr>
      </w:pPr>
      <w:r>
        <w:rPr>
          <w:rFonts w:hint="eastAsia" w:ascii="楷体" w:hAnsi="楷体" w:eastAsia="楷体" w:cs="楷体"/>
          <w:sz w:val="24"/>
          <w:highlight w:val="none"/>
          <w:lang w:val="en-US" w:eastAsia="zh-CN"/>
        </w:rPr>
        <w:t>公开市场方面，8月16日有4010亿MLF到期，央行于26日开展MLF操作，投放规模3000亿元，利率维持在2.3%，净回笼1010亿元；8月央行逆回购净投放391亿元，月末逆回购余额升至1.40万亿，处于近年同期偏高水平；央行公布8月PSL继续净归还778亿元，我们预计8月央行对其他存款性公司债权环比下降约1400亿元。此外，8月30日央行在官网新设定的“公开市场国债买卖业务公告”专栏中指出，向部分公开市场业务一级交易商买入短期限国债并卖出长期限国债，全月净买入债券面值为1000亿。综合来看，预计8月超储率约1.10%，</w:t>
      </w:r>
      <w:r>
        <w:rPr>
          <w:rFonts w:hint="eastAsia" w:ascii="楷体" w:hAnsi="楷体" w:eastAsia="楷体" w:cs="楷体"/>
          <w:sz w:val="24"/>
          <w:highlight w:val="none"/>
          <w:lang w:val="en-US" w:eastAsia="zh-CN" w:bidi="ar"/>
        </w:rPr>
        <w:t>较7月下降0.16pct，与往年同期均值大致持平。</w:t>
      </w:r>
    </w:p>
    <w:p w14:paraId="5205AADA">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b w:val="0"/>
          <w:bCs w:val="0"/>
          <w:kern w:val="2"/>
          <w:sz w:val="24"/>
          <w:szCs w:val="24"/>
          <w:highlight w:val="none"/>
          <w:lang w:val="en-US" w:eastAsia="zh-CN" w:bidi="ar"/>
        </w:rPr>
        <w:t>今年以来，央行对于DR007偏离OMO的容忍区间从过去的5BP以内上升到了5-10BP，这可能也反映了央行为防止长端利率过快下行不愿使流动性过度放松。但当DR007超过OMO利率10BP以上时，央行也会加大投放。这样的特征在8月仍在持续，1.75%-1.8%可能是目前央行对DR007的合意水平。尽管非银需求回升，趴账利率并未明显下降，使得资金分层略有扩大，可能反映了禁止手工补息后资金冗余逐步消退，但分层相较Q2前仍不明显。</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1.34</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8</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lang w:val="en-US" w:eastAsia="zh-CN"/>
          <w14:textFill>
            <w14:solidFill>
              <w14:schemeClr w14:val="tx1"/>
            </w14:solidFill>
          </w14:textFill>
        </w:rPr>
        <w:t>债市回撤影响下，固收类产品收益有所下降</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过去三个月投资收益为0.57%，较上月下降17BP；过去六个月投资收益为1.34%，较上月下降23BP。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过去三个月投资收益为0.57%，较上月环比下降11BP；过去六个月投资收益达1.22%，较上月下降14BP。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过去三个月投资收益为0.59%，较上月下降20BP；过去六个月投资收益达1.37%，较上月下降27BP。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过去三个月投资收益为0.57%，较上月环比下降26BP；过去六个月投资收益达1.52%，较上月环比下降37BP。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30C09BA1">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8月份，短、中期国债和短、中期企业债到期收益率均上升。具体来看，8月30日，6个月和1年期国债到期收益率分别为1.50%、1.49%，较7月底分别环比上升1.25BP、6.87P；6个月AAA企业债和1年期AAA企业债到期收益率分别为2.02%和2.08%，较7月底分别环比上升9.64BP和12.29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232400" cy="3322955"/>
                  <wp:effectExtent l="4445" t="4445" r="20955" b="6350"/>
                  <wp:docPr id="134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8月份，10年期国债、2年期和10年期长期限企业债到期收益率均上升，2年期国债到期收益率下降。具体来看，8月31日，2年期和10年期国债到期收益率为1.52%和2.17%，较7月底分别环比下降0.24BP和上升2.27BP；2年和10年期AAA企业债到期收益率为2.13%和2.50%，较7月底分别环比上升14.30BP和16.93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21580" cy="3064510"/>
                  <wp:effectExtent l="4445" t="4445" r="22225" b="17145"/>
                  <wp:docPr id="135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继续下行</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2024年8月，全国银行理财市场现金管理类产品收益指数整体延续下行趋势，截至2024年8月30日，全国银行理财市场现金管理类产品收益指数为61.68，较上月环比下降1.72点，较基期下降38.32点。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anchor distT="0" distB="0" distL="114300" distR="114300" simplePos="0" relativeHeight="251660288" behindDoc="0" locked="0" layoutInCell="1" allowOverlap="1">
                  <wp:simplePos x="0" y="0"/>
                  <wp:positionH relativeFrom="column">
                    <wp:posOffset>3543935</wp:posOffset>
                  </wp:positionH>
                  <wp:positionV relativeFrom="paragraph">
                    <wp:posOffset>147955</wp:posOffset>
                  </wp:positionV>
                  <wp:extent cx="1666875" cy="361950"/>
                  <wp:effectExtent l="0" t="0" r="9525" b="0"/>
                  <wp:wrapNone/>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2"/>
                          <a:stretch>
                            <a:fillRect/>
                          </a:stretch>
                        </pic:blipFill>
                        <pic:spPr>
                          <a:xfrm>
                            <a:off x="0" y="0"/>
                            <a:ext cx="1666875" cy="361950"/>
                          </a:xfrm>
                          <a:prstGeom prst="rect">
                            <a:avLst/>
                          </a:prstGeom>
                          <a:noFill/>
                          <a:ln>
                            <a:noFill/>
                          </a:ln>
                        </pic:spPr>
                      </pic:pic>
                    </a:graphicData>
                  </a:graphic>
                </wp:anchor>
              </w:drawing>
            </w:r>
            <w:r>
              <w:drawing>
                <wp:inline distT="0" distB="0" distL="114300" distR="114300">
                  <wp:extent cx="5269865" cy="3072130"/>
                  <wp:effectExtent l="4445" t="4445" r="21590" b="9525"/>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增速有所放缓</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8</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107.30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涨幅0.10</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7.30</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7.30%</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0.10%</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0.57%</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1.34%</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1312" behindDoc="0" locked="0" layoutInCell="1" allowOverlap="1">
                  <wp:simplePos x="0" y="0"/>
                  <wp:positionH relativeFrom="column">
                    <wp:posOffset>2313940</wp:posOffset>
                  </wp:positionH>
                  <wp:positionV relativeFrom="paragraph">
                    <wp:posOffset>148590</wp:posOffset>
                  </wp:positionV>
                  <wp:extent cx="1390650" cy="533400"/>
                  <wp:effectExtent l="0" t="0" r="0" b="0"/>
                  <wp:wrapNone/>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4"/>
                          <a:stretch>
                            <a:fillRect/>
                          </a:stretch>
                        </pic:blipFill>
                        <pic:spPr>
                          <a:xfrm>
                            <a:off x="0" y="0"/>
                            <a:ext cx="1390650" cy="533400"/>
                          </a:xfrm>
                          <a:prstGeom prst="rect">
                            <a:avLst/>
                          </a:prstGeom>
                          <a:noFill/>
                          <a:ln>
                            <a:noFill/>
                          </a:ln>
                        </pic:spPr>
                      </pic:pic>
                    </a:graphicData>
                  </a:graphic>
                </wp:anchor>
              </w:drawing>
            </w:r>
            <w:bookmarkStart w:id="1" w:name="_GoBack"/>
            <w:r>
              <w:drawing>
                <wp:inline distT="0" distB="0" distL="114300" distR="114300">
                  <wp:extent cx="5124450" cy="3089275"/>
                  <wp:effectExtent l="4445" t="4445" r="14605" b="11430"/>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分期限来看，8</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107.01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上升0.13</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涨幅0.12</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7.01</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7.01%；中期固收类产品收益指数为107.60点，环比上升0.08点，环比涨幅0.08%，指数较基期上升7.60点，增长7.60%；长期固收类产品收益指数为107.66点，环比上升0.07点，环比涨幅0.07%，指数较基期上升7.66点，增长7.66%。</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0.12%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1.22%</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0.08%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1.37%</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0.07%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1.52%</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8" r:id="rId23">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9" r:id="rId25">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8" o:title=""/>
            <o:lock v:ext="edit" aspectratio="t"/>
            <w10:wrap type="none"/>
            <w10:anchorlock/>
          </v:shape>
          <o:OLEObject Type="Embed" ProgID="Equation.KSEE3" ShapeID="_x0000_i1030" DrawAspect="Content" ObjectID="_1468075730" r:id="rId27">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30" o:title=""/>
            <o:lock v:ext="edit" aspectratio="t"/>
            <w10:wrap type="none"/>
            <w10:anchorlock/>
          </v:shape>
          <o:OLEObject Type="Embed" ProgID="Equation.KSEE3" ShapeID="_x0000_i1031" DrawAspect="Content" ObjectID="_1468075731" r:id="rId29">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2" o:title=""/>
            <o:lock v:ext="edit" aspectratio="t"/>
            <w10:wrap type="none"/>
            <w10:anchorlock/>
          </v:shape>
          <o:OLEObject Type="Embed" ProgID="Equation.KSEE3" ShapeID="_x0000_i1032" DrawAspect="Content" ObjectID="_1468075732" r:id="rId3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4" o:title=""/>
            <o:lock v:ext="edit" aspectratio="t"/>
            <w10:wrap type="none"/>
            <w10:anchorlock/>
          </v:shape>
          <o:OLEObject Type="Embed" ProgID="Equation.KSEE3" ShapeID="_x0000_i1033" DrawAspect="Content" ObjectID="_1468075733" r:id="rId33">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6" o:title=""/>
            <o:lock v:ext="edit" aspectratio="t"/>
            <w10:wrap type="none"/>
            <w10:anchorlock/>
          </v:shape>
          <o:OLEObject Type="Embed" ProgID="Equation.KSEE3" ShapeID="_x0000_i1034" DrawAspect="Content" ObjectID="_1468075734" r:id="rId35">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MDJlZmNlZWE1ZTFmMDY2ODMyZDU2ZmFmN2Q0MDU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761C29"/>
    <w:rsid w:val="0600190E"/>
    <w:rsid w:val="062475CD"/>
    <w:rsid w:val="062A3A78"/>
    <w:rsid w:val="063442C2"/>
    <w:rsid w:val="06510766"/>
    <w:rsid w:val="06733F4B"/>
    <w:rsid w:val="06AA75E4"/>
    <w:rsid w:val="06AA76A8"/>
    <w:rsid w:val="06C56765"/>
    <w:rsid w:val="06DA5F06"/>
    <w:rsid w:val="0708721D"/>
    <w:rsid w:val="07A77994"/>
    <w:rsid w:val="07BB67DE"/>
    <w:rsid w:val="08497AA2"/>
    <w:rsid w:val="08B60D54"/>
    <w:rsid w:val="08DC39E0"/>
    <w:rsid w:val="08EE6E9A"/>
    <w:rsid w:val="08FC6215"/>
    <w:rsid w:val="09150170"/>
    <w:rsid w:val="09843C8B"/>
    <w:rsid w:val="098D41AA"/>
    <w:rsid w:val="09B94653"/>
    <w:rsid w:val="0A22765F"/>
    <w:rsid w:val="0A31663D"/>
    <w:rsid w:val="0A3B0017"/>
    <w:rsid w:val="0A611635"/>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8356F6"/>
    <w:rsid w:val="0FC226D4"/>
    <w:rsid w:val="0FD86B39"/>
    <w:rsid w:val="0FEE78F2"/>
    <w:rsid w:val="10CA514A"/>
    <w:rsid w:val="10E50428"/>
    <w:rsid w:val="11266B4B"/>
    <w:rsid w:val="129B3B91"/>
    <w:rsid w:val="130A3724"/>
    <w:rsid w:val="13C124B3"/>
    <w:rsid w:val="13C32DA1"/>
    <w:rsid w:val="142F0E9B"/>
    <w:rsid w:val="14342E34"/>
    <w:rsid w:val="1480391E"/>
    <w:rsid w:val="14C70887"/>
    <w:rsid w:val="14EB1F9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964EA"/>
    <w:rsid w:val="18B52DD6"/>
    <w:rsid w:val="18F90150"/>
    <w:rsid w:val="1916056B"/>
    <w:rsid w:val="198354F2"/>
    <w:rsid w:val="19E37072"/>
    <w:rsid w:val="19FE5CD3"/>
    <w:rsid w:val="1ABA058B"/>
    <w:rsid w:val="1AC67C71"/>
    <w:rsid w:val="1AF52BBE"/>
    <w:rsid w:val="1B1F1786"/>
    <w:rsid w:val="1B3664EA"/>
    <w:rsid w:val="1BD83EBC"/>
    <w:rsid w:val="1C2002E2"/>
    <w:rsid w:val="1C2F49B6"/>
    <w:rsid w:val="1CA034BD"/>
    <w:rsid w:val="1CE65B87"/>
    <w:rsid w:val="1CFC7225"/>
    <w:rsid w:val="1D4D37B5"/>
    <w:rsid w:val="1D5C5C9E"/>
    <w:rsid w:val="1DC60161"/>
    <w:rsid w:val="1DEC0A26"/>
    <w:rsid w:val="1E1D1F55"/>
    <w:rsid w:val="1E4532CA"/>
    <w:rsid w:val="1E4C7DC2"/>
    <w:rsid w:val="1E6F44CA"/>
    <w:rsid w:val="1E7A1067"/>
    <w:rsid w:val="1ED9141C"/>
    <w:rsid w:val="1EEE7875"/>
    <w:rsid w:val="1F094F0C"/>
    <w:rsid w:val="1F415B52"/>
    <w:rsid w:val="1F775289"/>
    <w:rsid w:val="1F98623E"/>
    <w:rsid w:val="20124FB2"/>
    <w:rsid w:val="201721F5"/>
    <w:rsid w:val="206A094A"/>
    <w:rsid w:val="206D5E77"/>
    <w:rsid w:val="206F58BB"/>
    <w:rsid w:val="20AA214D"/>
    <w:rsid w:val="21617F9F"/>
    <w:rsid w:val="21EC5EE5"/>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074CA2"/>
    <w:rsid w:val="28176D65"/>
    <w:rsid w:val="281D0719"/>
    <w:rsid w:val="28280ABF"/>
    <w:rsid w:val="28332D7F"/>
    <w:rsid w:val="286A598B"/>
    <w:rsid w:val="28B47F60"/>
    <w:rsid w:val="28BC3374"/>
    <w:rsid w:val="29671ECA"/>
    <w:rsid w:val="298F257A"/>
    <w:rsid w:val="29BF7F53"/>
    <w:rsid w:val="29CC7F7F"/>
    <w:rsid w:val="2A1A6425"/>
    <w:rsid w:val="2A1D5B1A"/>
    <w:rsid w:val="2A4F4458"/>
    <w:rsid w:val="2A894729"/>
    <w:rsid w:val="2A9A4101"/>
    <w:rsid w:val="2AE94250"/>
    <w:rsid w:val="2AF21991"/>
    <w:rsid w:val="2B227E36"/>
    <w:rsid w:val="2B4A2C69"/>
    <w:rsid w:val="2BBE23F4"/>
    <w:rsid w:val="2BE7010A"/>
    <w:rsid w:val="2BF74302"/>
    <w:rsid w:val="2C0A59C8"/>
    <w:rsid w:val="2C41345C"/>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F50609"/>
    <w:rsid w:val="31215055"/>
    <w:rsid w:val="313802AE"/>
    <w:rsid w:val="31710D9C"/>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601DE"/>
    <w:rsid w:val="340139AD"/>
    <w:rsid w:val="34140EA1"/>
    <w:rsid w:val="343E7C43"/>
    <w:rsid w:val="3474249F"/>
    <w:rsid w:val="34B54E13"/>
    <w:rsid w:val="34D5292D"/>
    <w:rsid w:val="352C1FEF"/>
    <w:rsid w:val="35590699"/>
    <w:rsid w:val="3564585C"/>
    <w:rsid w:val="35E82D0F"/>
    <w:rsid w:val="363E0065"/>
    <w:rsid w:val="367C3A34"/>
    <w:rsid w:val="36C56482"/>
    <w:rsid w:val="37136C8A"/>
    <w:rsid w:val="3724042E"/>
    <w:rsid w:val="373E370A"/>
    <w:rsid w:val="376B0D44"/>
    <w:rsid w:val="377655FB"/>
    <w:rsid w:val="3819071C"/>
    <w:rsid w:val="38415FDC"/>
    <w:rsid w:val="38C8225A"/>
    <w:rsid w:val="38D20CF3"/>
    <w:rsid w:val="38E33FD5"/>
    <w:rsid w:val="38ED43C7"/>
    <w:rsid w:val="39636982"/>
    <w:rsid w:val="39795DE8"/>
    <w:rsid w:val="39914FE8"/>
    <w:rsid w:val="3A1B1711"/>
    <w:rsid w:val="3A84599A"/>
    <w:rsid w:val="3AB848A5"/>
    <w:rsid w:val="3AE64DDB"/>
    <w:rsid w:val="3AFD3A11"/>
    <w:rsid w:val="3AFD4854"/>
    <w:rsid w:val="3B021A53"/>
    <w:rsid w:val="3B445203"/>
    <w:rsid w:val="3B79633E"/>
    <w:rsid w:val="3C101F4E"/>
    <w:rsid w:val="3C8A0FF0"/>
    <w:rsid w:val="3C93031D"/>
    <w:rsid w:val="3CA03356"/>
    <w:rsid w:val="3D321D80"/>
    <w:rsid w:val="3D34424D"/>
    <w:rsid w:val="3D7E1BAC"/>
    <w:rsid w:val="3E3F09AD"/>
    <w:rsid w:val="3E5661DC"/>
    <w:rsid w:val="3E75105D"/>
    <w:rsid w:val="3E8C44DE"/>
    <w:rsid w:val="3EC3085F"/>
    <w:rsid w:val="3EDF15F3"/>
    <w:rsid w:val="3EE8674C"/>
    <w:rsid w:val="3EF10652"/>
    <w:rsid w:val="3F3B2ABF"/>
    <w:rsid w:val="3F457ABB"/>
    <w:rsid w:val="3F501217"/>
    <w:rsid w:val="3F5F1797"/>
    <w:rsid w:val="3FAD71CC"/>
    <w:rsid w:val="3FBA50C3"/>
    <w:rsid w:val="3FBA6DA0"/>
    <w:rsid w:val="3FCE1C4B"/>
    <w:rsid w:val="40132AC3"/>
    <w:rsid w:val="408110D3"/>
    <w:rsid w:val="40BD3B3B"/>
    <w:rsid w:val="40C41E8A"/>
    <w:rsid w:val="41115436"/>
    <w:rsid w:val="413B014E"/>
    <w:rsid w:val="414108DA"/>
    <w:rsid w:val="414803DC"/>
    <w:rsid w:val="41552871"/>
    <w:rsid w:val="41E46FD4"/>
    <w:rsid w:val="41E84399"/>
    <w:rsid w:val="41EB78A8"/>
    <w:rsid w:val="41F7515B"/>
    <w:rsid w:val="41FA6F58"/>
    <w:rsid w:val="421F2042"/>
    <w:rsid w:val="42527A60"/>
    <w:rsid w:val="427B20EB"/>
    <w:rsid w:val="4298502E"/>
    <w:rsid w:val="42A21686"/>
    <w:rsid w:val="42F073B3"/>
    <w:rsid w:val="431935EC"/>
    <w:rsid w:val="43B9721F"/>
    <w:rsid w:val="444E7AB7"/>
    <w:rsid w:val="44897DBD"/>
    <w:rsid w:val="449256FE"/>
    <w:rsid w:val="44F17D02"/>
    <w:rsid w:val="44FC26CB"/>
    <w:rsid w:val="45450B59"/>
    <w:rsid w:val="457E617A"/>
    <w:rsid w:val="4596796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864EBE"/>
    <w:rsid w:val="4BC34F7E"/>
    <w:rsid w:val="4BD905AE"/>
    <w:rsid w:val="4C110F00"/>
    <w:rsid w:val="4CFB4554"/>
    <w:rsid w:val="4D6E1DDE"/>
    <w:rsid w:val="4DDB0306"/>
    <w:rsid w:val="4E10402F"/>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4179A"/>
    <w:rsid w:val="532C41CA"/>
    <w:rsid w:val="534704F3"/>
    <w:rsid w:val="5382152B"/>
    <w:rsid w:val="539A6771"/>
    <w:rsid w:val="53AF548C"/>
    <w:rsid w:val="54305A92"/>
    <w:rsid w:val="543F19F5"/>
    <w:rsid w:val="54461671"/>
    <w:rsid w:val="54741E50"/>
    <w:rsid w:val="547A21C6"/>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9E545C2"/>
    <w:rsid w:val="5A5D2664"/>
    <w:rsid w:val="5A8B4A50"/>
    <w:rsid w:val="5A9F6E67"/>
    <w:rsid w:val="5AF061B4"/>
    <w:rsid w:val="5B1C5572"/>
    <w:rsid w:val="5B2242B5"/>
    <w:rsid w:val="5B4C6344"/>
    <w:rsid w:val="5B56533D"/>
    <w:rsid w:val="5B8267D1"/>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3822E0"/>
    <w:rsid w:val="61922529"/>
    <w:rsid w:val="61AF4EC6"/>
    <w:rsid w:val="61E16E01"/>
    <w:rsid w:val="621974FF"/>
    <w:rsid w:val="626B6941"/>
    <w:rsid w:val="628420FD"/>
    <w:rsid w:val="628726BA"/>
    <w:rsid w:val="62B71C5C"/>
    <w:rsid w:val="62D41677"/>
    <w:rsid w:val="62F251EC"/>
    <w:rsid w:val="6341380F"/>
    <w:rsid w:val="63A147E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C3525E"/>
    <w:rsid w:val="67F00EBC"/>
    <w:rsid w:val="68535CA7"/>
    <w:rsid w:val="687F5CCC"/>
    <w:rsid w:val="68C873DC"/>
    <w:rsid w:val="68F128B4"/>
    <w:rsid w:val="696668F3"/>
    <w:rsid w:val="69E66368"/>
    <w:rsid w:val="69F97D3B"/>
    <w:rsid w:val="69FE5C3C"/>
    <w:rsid w:val="6A173BFF"/>
    <w:rsid w:val="6AD85B33"/>
    <w:rsid w:val="6AE04A70"/>
    <w:rsid w:val="6AE94BCC"/>
    <w:rsid w:val="6B0E619E"/>
    <w:rsid w:val="6B421874"/>
    <w:rsid w:val="6BCA7D47"/>
    <w:rsid w:val="6CB47A23"/>
    <w:rsid w:val="6CC24E19"/>
    <w:rsid w:val="6CC31B16"/>
    <w:rsid w:val="6CE16C69"/>
    <w:rsid w:val="6D090170"/>
    <w:rsid w:val="6D1A3680"/>
    <w:rsid w:val="6D2A25C0"/>
    <w:rsid w:val="6D3B6042"/>
    <w:rsid w:val="6DB63E53"/>
    <w:rsid w:val="6DD5581E"/>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25F69"/>
    <w:rsid w:val="74857CFF"/>
    <w:rsid w:val="75177AF0"/>
    <w:rsid w:val="752805E3"/>
    <w:rsid w:val="759A405B"/>
    <w:rsid w:val="759C05CE"/>
    <w:rsid w:val="75B3629E"/>
    <w:rsid w:val="75D52F1F"/>
    <w:rsid w:val="75E76FA0"/>
    <w:rsid w:val="763F3E75"/>
    <w:rsid w:val="76491C40"/>
    <w:rsid w:val="764E3A9B"/>
    <w:rsid w:val="76C743F2"/>
    <w:rsid w:val="76C9109B"/>
    <w:rsid w:val="76C91F9F"/>
    <w:rsid w:val="76D346DA"/>
    <w:rsid w:val="76E77774"/>
    <w:rsid w:val="76F00707"/>
    <w:rsid w:val="773A49EE"/>
    <w:rsid w:val="77BE2663"/>
    <w:rsid w:val="78486651"/>
    <w:rsid w:val="784A5E71"/>
    <w:rsid w:val="785B21C7"/>
    <w:rsid w:val="786A09B8"/>
    <w:rsid w:val="78C13AD5"/>
    <w:rsid w:val="78F458AA"/>
    <w:rsid w:val="7A560E98"/>
    <w:rsid w:val="7AD520AB"/>
    <w:rsid w:val="7ADD2D6F"/>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wmf"/><Relationship Id="rId35" Type="http://schemas.openxmlformats.org/officeDocument/2006/relationships/oleObject" Target="embeddings/oleObject10.bin"/><Relationship Id="rId34" Type="http://schemas.openxmlformats.org/officeDocument/2006/relationships/image" Target="media/image12.wmf"/><Relationship Id="rId33" Type="http://schemas.openxmlformats.org/officeDocument/2006/relationships/oleObject" Target="embeddings/oleObject9.bin"/><Relationship Id="rId32" Type="http://schemas.openxmlformats.org/officeDocument/2006/relationships/image" Target="media/image11.wmf"/><Relationship Id="rId31" Type="http://schemas.openxmlformats.org/officeDocument/2006/relationships/oleObject" Target="embeddings/oleObject8.bin"/><Relationship Id="rId30" Type="http://schemas.openxmlformats.org/officeDocument/2006/relationships/image" Target="media/image10.wmf"/><Relationship Id="rId3" Type="http://schemas.openxmlformats.org/officeDocument/2006/relationships/theme" Target="theme/theme1.xml"/><Relationship Id="rId29" Type="http://schemas.openxmlformats.org/officeDocument/2006/relationships/oleObject" Target="embeddings/oleObject7.bin"/><Relationship Id="rId28" Type="http://schemas.openxmlformats.org/officeDocument/2006/relationships/image" Target="media/image9.wmf"/><Relationship Id="rId27" Type="http://schemas.openxmlformats.org/officeDocument/2006/relationships/oleObject" Target="embeddings/oleObject6.bin"/><Relationship Id="rId26" Type="http://schemas.openxmlformats.org/officeDocument/2006/relationships/image" Target="media/image8.wmf"/><Relationship Id="rId25" Type="http://schemas.openxmlformats.org/officeDocument/2006/relationships/oleObject" Target="embeddings/oleObject5.bin"/><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image" Target="media/image3.emf"/><Relationship Id="rId13" Type="http://schemas.openxmlformats.org/officeDocument/2006/relationships/chart" Target="charts/chart8.xml"/><Relationship Id="rId12" Type="http://schemas.openxmlformats.org/officeDocument/2006/relationships/image" Target="media/image2.emf"/><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8&#26376;\2024&#24180;8&#26376;&#25351;&#25968;&#25968;&#25454;\&#22269;&#20538;&#20225;&#19994;&#20538;&#25910;&#30410;&#29575;-&#25130;&#33267;2024&#24180;08&#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8&#26376;\2024&#24180;8&#26376;&#25351;&#25968;&#25968;&#25454;\&#22269;&#20538;&#20225;&#19994;&#20538;&#25910;&#30410;&#29575;-&#25130;&#33267;2024&#24180;08&#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3828;&#30427;&#24742;\&#24037;&#20316;&#20869;&#23481;\2024&#26032;&#29256;&#25351;&#25968;\2024&#24180;8&#26376;\2024&#24180;8&#26376;&#25351;&#25968;&#25968;&#25454;\&#21306;&#22495;&#38134;&#34892;&#29702;&#36130;&#20135;&#21697;&#25351;&#25968;&#65288;202408&#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3076730504444"/>
          <c:y val="0.0465707027942422"/>
          <c:w val="0.868994867943422"/>
          <c:h val="0.755588484335309"/>
        </c:manualLayout>
      </c:layout>
      <c:lineChart>
        <c:grouping val="standard"/>
        <c:varyColors val="0"/>
        <c:ser>
          <c:idx val="0"/>
          <c:order val="0"/>
          <c:tx>
            <c:strRef>
              <c:f>'[区域银行理财产品指数（202408）.xlsx]现金-单产品收益表现'!$C$36</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'[区域银行理财产品指数（202408）.xlsx]现金-单产品收益表现'!$B$37:$B$68</c:f>
              <c:strCache>
                <c:ptCount val="32"/>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pt idx="28" c:formatCode="@">
                  <c:v>2024-5</c:v>
                </c:pt>
                <c:pt idx="29" c:formatCode="@">
                  <c:v>2024-6</c:v>
                </c:pt>
                <c:pt idx="30" c:formatCode="@">
                  <c:v>2024-7</c:v>
                </c:pt>
                <c:pt idx="31" c:formatCode="@">
                  <c:v>2024-8</c:v>
                </c:pt>
              </c:strCache>
            </c:strRef>
          </c:cat>
          <c:val>
            <c:numRef>
              <c:f>'[区域银行理财产品指数（202408）.xlsx]现金-单产品收益表现'!$C$37:$C$68</c:f>
              <c:numCache>
                <c:formatCode>0.00_ </c:formatCode>
                <c:ptCount val="32"/>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pt idx="28">
                  <c:v>1.97897660174094</c:v>
                </c:pt>
                <c:pt idx="29">
                  <c:v>1.93240948950441</c:v>
                </c:pt>
                <c:pt idx="30">
                  <c:v>1.88027205227318</c:v>
                </c:pt>
                <c:pt idx="31">
                  <c:v>1.80793356320385</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900000" spcFirstLastPara="0" vertOverflow="ellipsis" vert="horz" wrap="square" anchor="ctr" anchorCtr="1"/>
          <a:lstStyle/>
          <a:p>
            <a:pPr>
              <a:defRPr lang="zh-CN" sz="9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crossAx val="333865571"/>
        <c:crosses val="autoZero"/>
        <c:auto val="0"/>
        <c:lblAlgn val="ctr"/>
        <c:lblOffset val="100"/>
        <c:tickLblSkip val="3"/>
        <c:tickMarkSkip val="3"/>
        <c:noMultiLvlLbl val="0"/>
      </c:catAx>
      <c:valAx>
        <c:axId val="333865571"/>
        <c:scaling>
          <c:orientation val="minMax"/>
          <c:min val="1"/>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manualLayout>
          <c:xMode val="edge"/>
          <c:yMode val="edge"/>
          <c:x val="0.357394580143395"/>
          <c:y val="0.9257516874616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'[区域银行理财产品指数（202408）.xlsx]固收类产品指数'!$M$2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'[区域银行理财产品指数（202408）.xlsx]固收类产品指数'!$A$3:$A$35</c:f>
              <c:numCache>
                <c:formatCode>yyyy"年"m"月";@</c:formatCode>
                <c:ptCount val="3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numCache>
            </c:numRef>
          </c:cat>
          <c:val>
            <c:numRef>
              <c:f>'[区域银行理财产品指数（202408）.xlsx]固收类产品指数'!$M$3:$M$35</c:f>
              <c:numCache>
                <c:formatCode>0.00_);[Red]\(0.00\)</c:formatCode>
                <c:ptCount val="33"/>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formatCode="0.00_ ">
                  <c:v>106.635954488359</c:v>
                </c:pt>
                <c:pt idx="31" c:formatCode="0.00_ ">
                  <c:v>106.880291659995</c:v>
                </c:pt>
                <c:pt idx="32" c:formatCode="0.00_ ">
                  <c:v>107.01084461275</c:v>
                </c:pt>
              </c:numCache>
            </c:numRef>
          </c:val>
          <c:smooth val="0"/>
        </c:ser>
        <c:ser>
          <c:idx val="1"/>
          <c:order val="1"/>
          <c:tx>
            <c:strRef>
              <c:f>'[区域银行理财产品指数（202408）.xlsx]固收类产品指数'!$N$2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'[区域银行理财产品指数（202408）.xlsx]固收类产品指数'!$A$3:$A$35</c:f>
              <c:numCache>
                <c:formatCode>yyyy"年"m"月";@</c:formatCode>
                <c:ptCount val="3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numCache>
            </c:numRef>
          </c:cat>
          <c:val>
            <c:numRef>
              <c:f>'[区域银行理财产品指数（202408）.xlsx]固收类产品指数'!$N$3:$N$35</c:f>
              <c:numCache>
                <c:formatCode>0.00_);[Red]\(0.00\)</c:formatCode>
                <c:ptCount val="33"/>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formatCode="0.00_ ">
                  <c:v>107.227681230757</c:v>
                </c:pt>
                <c:pt idx="31" c:formatCode="0.00_ ">
                  <c:v>107.514015890287</c:v>
                </c:pt>
                <c:pt idx="32" c:formatCode="0.00_ ">
                  <c:v>107.596800980841</c:v>
                </c:pt>
              </c:numCache>
            </c:numRef>
          </c:val>
          <c:smooth val="0"/>
        </c:ser>
        <c:ser>
          <c:idx val="2"/>
          <c:order val="2"/>
          <c:tx>
            <c:strRef>
              <c:f>'[区域银行理财产品指数（202408）.xlsx]固收类产品指数'!$O$2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'[区域银行理财产品指数（202408）.xlsx]固收类产品指数'!$A$3:$A$35</c:f>
              <c:numCache>
                <c:formatCode>yyyy"年"m"月";@</c:formatCode>
                <c:ptCount val="3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numCache>
            </c:numRef>
          </c:cat>
          <c:val>
            <c:numRef>
              <c:f>'[区域银行理财产品指数（202408）.xlsx]固收类产品指数'!$O$3:$O$35</c:f>
              <c:numCache>
                <c:formatCode>0.00_);[Red]\(0.00\)</c:formatCode>
                <c:ptCount val="33"/>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formatCode="0.00_ ">
                  <c:v>107.311919895746</c:v>
                </c:pt>
                <c:pt idx="31" c:formatCode="0.00_ ">
                  <c:v>107.585554950608</c:v>
                </c:pt>
                <c:pt idx="32" c:formatCode="0.00_ ">
                  <c:v>107.65635702653</c:v>
                </c:pt>
              </c:numCache>
            </c:numRef>
          </c:val>
          <c:smooth val="0"/>
        </c:ser>
        <c:ser>
          <c:idx val="3"/>
          <c:order val="3"/>
          <c:tx>
            <c:strRef>
              <c:f>'[区域银行理财产品指数（202408）.xlsx]固收类产品指数'!$P$2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'[区域银行理财产品指数（202408）.xlsx]固收类产品指数'!$A$3:$A$35</c:f>
              <c:numCache>
                <c:formatCode>yyyy"年"m"月";@</c:formatCode>
                <c:ptCount val="33"/>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numCache>
            </c:numRef>
          </c:cat>
          <c:val>
            <c:numRef>
              <c:f>'[区域银行理财产品指数（202408）.xlsx]固收类产品指数'!$P$3:$P$35</c:f>
              <c:numCache>
                <c:formatCode>0.00_);[Red]\(0.00\)</c:formatCode>
                <c:ptCount val="33"/>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formatCode="0.00_ ">
                  <c:v>106.938336366856</c:v>
                </c:pt>
                <c:pt idx="31" c:formatCode="0.00_ ">
                  <c:v>107.197966776699</c:v>
                </c:pt>
                <c:pt idx="32" c:formatCode="0.00_ ">
                  <c:v>107.304343372339</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'[区域银行理财产品指数（202408）.xlsx]全国固收指数收益'!$O$2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'[区域银行理财产品指数（202408）.xlsx]全国固收指数收益'!$O$27:$O$32</c:f>
              <c:numCache>
                <c:formatCode>0.00%</c:formatCode>
                <c:ptCount val="6"/>
                <c:pt idx="0">
                  <c:v>0.00798213443790898</c:v>
                </c:pt>
                <c:pt idx="1">
                  <c:v>0.00820726893021497</c:v>
                </c:pt>
                <c:pt idx="2">
                  <c:v>0.0075966101737599</c:v>
                </c:pt>
                <c:pt idx="3">
                  <c:v>0.00777852746367226</c:v>
                </c:pt>
                <c:pt idx="4">
                  <c:v>0.00740611260960936</c:v>
                </c:pt>
                <c:pt idx="5">
                  <c:v>0.0057267783602064</c:v>
                </c:pt>
              </c:numCache>
            </c:numRef>
          </c:val>
        </c:ser>
        <c:ser>
          <c:idx val="1"/>
          <c:order val="1"/>
          <c:tx>
            <c:strRef>
              <c:f>'[区域银行理财产品指数（202408）.xlsx]全国固收指数收益'!$P$2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'[区域银行理财产品指数（202408）.xlsx]全国固收指数收益'!$P$27:$P$32</c:f>
              <c:numCache>
                <c:formatCode>0.00%</c:formatCode>
                <c:ptCount val="6"/>
                <c:pt idx="0">
                  <c:v>0.0153963282371468</c:v>
                </c:pt>
                <c:pt idx="1">
                  <c:v>0.0166795895845654</c:v>
                </c:pt>
                <c:pt idx="2">
                  <c:v>0.0166389802290986</c:v>
                </c:pt>
                <c:pt idx="3">
                  <c:v>0.0158227511535252</c:v>
                </c:pt>
                <c:pt idx="4">
                  <c:v>0.0156741654977435</c:v>
                </c:pt>
                <c:pt idx="5">
                  <c:v>0.0133668926367203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'[区域银行理财产品指数（202408）.xlsx]全国固收指数收益'!$I$2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'[区域银行理财产品指数（202408）.xlsx]全国固收指数收益'!$I$27:$I$32</c:f>
              <c:numCache>
                <c:formatCode>0.00%</c:formatCode>
                <c:ptCount val="6"/>
                <c:pt idx="0">
                  <c:v>0.00696723541258468</c:v>
                </c:pt>
                <c:pt idx="1">
                  <c:v>0.00679633688286679</c:v>
                </c:pt>
                <c:pt idx="2">
                  <c:v>0.00652735564801272</c:v>
                </c:pt>
                <c:pt idx="3">
                  <c:v>0.00678551618715192</c:v>
                </c:pt>
                <c:pt idx="4">
                  <c:v>0.00678188596015904</c:v>
                </c:pt>
                <c:pt idx="5">
                  <c:v>0.00567579264220157</c:v>
                </c:pt>
              </c:numCache>
            </c:numRef>
          </c:val>
        </c:ser>
        <c:ser>
          <c:idx val="1"/>
          <c:order val="1"/>
          <c:tx>
            <c:strRef>
              <c:f>'[区域银行理财产品指数（202408）.xlsx]全国固收指数收益'!$J$2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'[区域银行理财产品指数（202408）.xlsx]全国固收指数收益'!$J$27:$J$32</c:f>
              <c:numCache>
                <c:formatCode>0.00%</c:formatCode>
                <c:ptCount val="6"/>
                <c:pt idx="0">
                  <c:v>0.0136887556633518</c:v>
                </c:pt>
                <c:pt idx="1">
                  <c:v>0.0141898451115794</c:v>
                </c:pt>
                <c:pt idx="2">
                  <c:v>0.0143261528077569</c:v>
                </c:pt>
                <c:pt idx="3">
                  <c:v>0.0138000278884099</c:v>
                </c:pt>
                <c:pt idx="4">
                  <c:v>0.0136243148247079</c:v>
                </c:pt>
                <c:pt idx="5">
                  <c:v>0.0122401962073743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'[区域银行理财产品指数（202408）.xlsx]全国固收指数收益'!$K$2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'[区域银行理财产品指数（202408）.xlsx]全国固收指数收益'!$K$27:$K$32</c:f>
              <c:numCache>
                <c:formatCode>0.00%</c:formatCode>
                <c:ptCount val="6"/>
                <c:pt idx="0">
                  <c:v>0.00847030354486078</c:v>
                </c:pt>
                <c:pt idx="1">
                  <c:v>0.00838992602037604</c:v>
                </c:pt>
                <c:pt idx="2">
                  <c:v>0.00777673646425675</c:v>
                </c:pt>
                <c:pt idx="3">
                  <c:v>0.00810345018695012</c:v>
                </c:pt>
                <c:pt idx="4">
                  <c:v>0.00793187020711537</c:v>
                </c:pt>
                <c:pt idx="5">
                  <c:v>0.00588391088885566</c:v>
                </c:pt>
              </c:numCache>
            </c:numRef>
          </c:val>
        </c:ser>
        <c:ser>
          <c:idx val="1"/>
          <c:order val="1"/>
          <c:tx>
            <c:strRef>
              <c:f>'[区域银行理财产品指数（202408）.xlsx]全国固收指数收益'!$L$2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'[区域银行理财产品指数（202408）.xlsx]全国固收指数收益'!$L$27:$L$32</c:f>
              <c:numCache>
                <c:formatCode>0.00%</c:formatCode>
                <c:ptCount val="6"/>
                <c:pt idx="0">
                  <c:v>0.0166301166560503</c:v>
                </c:pt>
                <c:pt idx="1">
                  <c:v>0.0177542656165263</c:v>
                </c:pt>
                <c:pt idx="2">
                  <c:v>0.0176378720008879</c:v>
                </c:pt>
                <c:pt idx="3">
                  <c:v>0.016642392414655</c:v>
                </c:pt>
                <c:pt idx="4">
                  <c:v>0.0163883440317277</c:v>
                </c:pt>
                <c:pt idx="5">
                  <c:v>0.0137064049774742</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'[区域银行理财产品指数（202408）.xlsx]全国固收指数收益'!$M$2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'[区域银行理财产品指数（202408）.xlsx]全国固收指数收益'!$M$27:$M$32</c:f>
              <c:numCache>
                <c:formatCode>0.00%</c:formatCode>
                <c:ptCount val="6"/>
                <c:pt idx="0">
                  <c:v>0.00942013258633275</c:v>
                </c:pt>
                <c:pt idx="1">
                  <c:v>0.0105832814303376</c:v>
                </c:pt>
                <c:pt idx="2">
                  <c:v>0.00946572727217155</c:v>
                </c:pt>
                <c:pt idx="3">
                  <c:v>0.00946615927236919</c:v>
                </c:pt>
                <c:pt idx="4">
                  <c:v>0.00829485063616373</c:v>
                </c:pt>
                <c:pt idx="5">
                  <c:v>0.00569849057423986</c:v>
                </c:pt>
              </c:numCache>
            </c:numRef>
          </c:val>
        </c:ser>
        <c:ser>
          <c:idx val="1"/>
          <c:order val="1"/>
          <c:tx>
            <c:strRef>
              <c:f>'[区域银行理财产品指数（202408）.xlsx]全国固收指数收益'!$N$2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'[区域银行理财产品指数（202408）.xlsx]全国固收指数收益'!$H$27:$H$32</c:f>
              <c:strCache>
                <c:ptCount val="6"/>
                <c:pt idx="0" c:formatCode="@">
                  <c:v>2024-03</c:v>
                </c:pt>
                <c:pt idx="1" c:formatCode="@">
                  <c:v>2024-04</c:v>
                </c:pt>
                <c:pt idx="2" c:formatCode="@">
                  <c:v>2024-05</c:v>
                </c:pt>
                <c:pt idx="3" c:formatCode="@">
                  <c:v>2024-06</c:v>
                </c:pt>
                <c:pt idx="4" c:formatCode="@">
                  <c:v>2024-07</c:v>
                </c:pt>
                <c:pt idx="5" c:formatCode="@">
                  <c:v>2024-08</c:v>
                </c:pt>
              </c:strCache>
            </c:strRef>
          </c:cat>
          <c:val>
            <c:numRef>
              <c:f>'[区域银行理财产品指数（202408）.xlsx]全国固收指数收益'!$N$27:$N$32</c:f>
              <c:numCache>
                <c:formatCode>0.00%</c:formatCode>
                <c:ptCount val="6"/>
                <c:pt idx="0">
                  <c:v>0.0175030854068628</c:v>
                </c:pt>
                <c:pt idx="1">
                  <c:v>0.0202388684674671</c:v>
                </c:pt>
                <c:pt idx="2">
                  <c:v>0.0200910934760653</c:v>
                </c:pt>
                <c:pt idx="3">
                  <c:v>0.018975464334131</c:v>
                </c:pt>
                <c:pt idx="4">
                  <c:v>0.0189659188052044</c:v>
                </c:pt>
                <c:pt idx="5">
                  <c:v>0.0152181582040502</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'[国债企业债收益率-截至2024年08月.xls]Sheet0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'[国债企业债收益率-截至2024年08月.xls]Sheet0 (2)'!$A$222:$A$894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(2)'!$B$222:$B$894</c:f>
              <c:numCache>
                <c:formatCode>#,##0.00_ </c:formatCode>
                <c:ptCount val="673"/>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numCache>
            </c:numRef>
          </c:val>
          <c:smooth val="0"/>
        </c:ser>
        <c:ser>
          <c:idx val="1"/>
          <c:order val="1"/>
          <c:tx>
            <c:strRef>
              <c:f>'[国债企业债收益率-截至2024年08月.xls]Sheet0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'[国债企业债收益率-截至2024年08月.xls]Sheet0 (2)'!$A$222:$A$894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(2)'!$C$222:$C$894</c:f>
              <c:numCache>
                <c:formatCode>#,##0.00_ </c:formatCode>
                <c:ptCount val="673"/>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numCache>
            </c:numRef>
          </c:val>
          <c:smooth val="0"/>
        </c:ser>
        <c:ser>
          <c:idx val="2"/>
          <c:order val="2"/>
          <c:tx>
            <c:strRef>
              <c:f>'[国债企业债收益率-截至2024年08月.xls]Sheet0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'[国债企业债收益率-截至2024年08月.xls]Sheet0 (2)'!$A$222:$A$894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(2)'!$D$222:$D$894</c:f>
              <c:numCache>
                <c:formatCode>#,##0.00_ </c:formatCode>
                <c:ptCount val="673"/>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numCache>
            </c:numRef>
          </c:val>
          <c:smooth val="0"/>
        </c:ser>
        <c:ser>
          <c:idx val="3"/>
          <c:order val="3"/>
          <c:tx>
            <c:strRef>
              <c:f>'[国债企业债收益率-截至2024年08月.xls]Sheet0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'[国债企业债收益率-截至2024年08月.xls]Sheet0 (2)'!$A$222:$A$894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(2)'!$E$222:$E$894</c:f>
              <c:numCache>
                <c:formatCode>#,##0.00_ </c:formatCode>
                <c:ptCount val="673"/>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numCache>
            </c:numRef>
          </c:val>
          <c:smooth val="0"/>
        </c:ser>
        <c:dLbls>
          <c:showLegendKey val="0"/>
          <c:showVal val="0"/>
          <c:showCatName val="0"/>
          <c:showSerName val="0"/>
          <c:showPercent val="0"/>
          <c:showBubbleSize val="0"/>
        </c:dLbls>
        <c:marker val="0"/>
        <c:smooth val="0"/>
        <c:axId val="621592273"/>
        <c:axId val="937058506"/>
      </c:lineChart>
      <c:dateAx>
        <c:axId val="621592273"/>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937058506"/>
        <c:crosses val="autoZero"/>
        <c:auto val="1"/>
        <c:lblAlgn val="ctr"/>
        <c:lblOffset val="100"/>
        <c:baseTimeUnit val="days"/>
      </c:dateAx>
      <c:valAx>
        <c:axId val="937058506"/>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621592273"/>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'[国债企业债收益率-截至2024年08月.xls]Sheet0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'[国债企业债收益率-截至2024年08月.xls]Sheet0 (2)'!$G$222:$G$894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(2)'!$H$222:$H$894</c:f>
              <c:numCache>
                <c:formatCode>0.00_ </c:formatCode>
                <c:ptCount val="673"/>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numCache>
            </c:numRef>
          </c:val>
          <c:smooth val="0"/>
        </c:ser>
        <c:ser>
          <c:idx val="1"/>
          <c:order val="1"/>
          <c:tx>
            <c:strRef>
              <c:f>'[国债企业债收益率-截至2024年08月.xls]Sheet0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'[国债企业债收益率-截至2024年08月.xls]Sheet0 (2)'!$G$222:$G$894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(2)'!$I$222:$I$894</c:f>
              <c:numCache>
                <c:formatCode>0.00_ </c:formatCode>
                <c:ptCount val="673"/>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numCache>
            </c:numRef>
          </c:val>
          <c:smooth val="0"/>
        </c:ser>
        <c:ser>
          <c:idx val="2"/>
          <c:order val="2"/>
          <c:tx>
            <c:strRef>
              <c:f>'[国债企业债收益率-截至2024年08月.xls]Sheet0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'[国债企业债收益率-截至2024年08月.xls]Sheet0 (2)'!$G$222:$G$894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(2)'!$J$222:$J$894</c:f>
              <c:numCache>
                <c:formatCode>0.00_ </c:formatCode>
                <c:ptCount val="673"/>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numCache>
            </c:numRef>
          </c:val>
          <c:smooth val="0"/>
        </c:ser>
        <c:ser>
          <c:idx val="3"/>
          <c:order val="3"/>
          <c:tx>
            <c:strRef>
              <c:f>'[国债企业债收益率-截至2024年08月.xls]Sheet0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'[国债企业债收益率-截至2024年08月.xls]Sheet0 (2)'!$G$222:$G$894</c:f>
              <c:strCache>
                <c:ptCount val="673"/>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strCache>
            </c:strRef>
          </c:cat>
          <c:val>
            <c:numRef>
              <c:f>'[国债企业债收益率-截至2024年08月.xls]Sheet0 (2)'!$K$222:$K$894</c:f>
              <c:numCache>
                <c:formatCode>0.00_ </c:formatCode>
                <c:ptCount val="673"/>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numCache>
            </c:numRef>
          </c:val>
          <c:smooth val="0"/>
        </c:ser>
        <c:dLbls>
          <c:showLegendKey val="0"/>
          <c:showVal val="0"/>
          <c:showCatName val="0"/>
          <c:showSerName val="0"/>
          <c:showPercent val="0"/>
          <c:showBubbleSize val="0"/>
        </c:dLbls>
        <c:marker val="0"/>
        <c:smooth val="0"/>
        <c:axId val="941775670"/>
        <c:axId val="76532961"/>
      </c:lineChart>
      <c:catAx>
        <c:axId val="94177567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76532961"/>
        <c:crosses val="autoZero"/>
        <c:auto val="1"/>
        <c:lblAlgn val="ctr"/>
        <c:lblOffset val="100"/>
        <c:tickLblSkip val="50"/>
        <c:noMultiLvlLbl val="0"/>
      </c:catAx>
      <c:valAx>
        <c:axId val="76532961"/>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941775670"/>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3725263610633"/>
          <c:y val="0.0524544734758511"/>
          <c:w val="0.863038057798535"/>
          <c:h val="0.645961995249406"/>
        </c:manualLayout>
      </c:layout>
      <c:lineChart>
        <c:grouping val="standard"/>
        <c:varyColors val="0"/>
        <c:ser>
          <c:idx val="0"/>
          <c:order val="0"/>
          <c:tx>
            <c:strRef>
              <c:f>'[区域银行理财产品指数（202408）.xlsx]现金管理类指数'!$H$2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'[区域银行理财产品指数（202408）.xlsx]现金管理类指数'!$A$3:$A$656</c:f>
              <c:numCache>
                <c:formatCode>yyyy/m/d</c:formatCode>
                <c:ptCount val="654"/>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numCache>
            </c:numRef>
          </c:cat>
          <c:val>
            <c:numRef>
              <c:f>'[区域银行理财产品指数（202408）.xlsx]现金管理类指数'!$H$3:$H$656</c:f>
              <c:numCache>
                <c:formatCode>General</c:formatCode>
                <c:ptCount val="654"/>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63.3949190631701</c:v>
                </c:pt>
                <c:pt idx="632" c:formatCode="0.00_ ">
                  <c:v>63.7437104584854</c:v>
                </c:pt>
                <c:pt idx="633" c:formatCode="0.00_ ">
                  <c:v>63.7940479868252</c:v>
                </c:pt>
                <c:pt idx="634" c:formatCode="0.00_ ">
                  <c:v>63.4310392122434</c:v>
                </c:pt>
                <c:pt idx="635" c:formatCode="0.00_ ">
                  <c:v>63.0855270443993</c:v>
                </c:pt>
                <c:pt idx="636" c:formatCode="0.00_ ">
                  <c:v>63.0462198170273</c:v>
                </c:pt>
                <c:pt idx="637" c:formatCode="0.00_ ">
                  <c:v>62.8659106807122</c:v>
                </c:pt>
                <c:pt idx="638" c:formatCode="0.00_ ">
                  <c:v>62.8139353140852</c:v>
                </c:pt>
                <c:pt idx="639" c:formatCode="0.00_ ">
                  <c:v>62.2290147513958</c:v>
                </c:pt>
                <c:pt idx="640" c:formatCode="0.00_ ">
                  <c:v>62.1131918391008</c:v>
                </c:pt>
                <c:pt idx="641" c:formatCode="0.00_ ">
                  <c:v>62.0815001024239</c:v>
                </c:pt>
                <c:pt idx="642" c:formatCode="0.00_ ">
                  <c:v>62.1679819257011</c:v>
                </c:pt>
                <c:pt idx="643" c:formatCode="0.00_ ">
                  <c:v>61.8223967130574</c:v>
                </c:pt>
                <c:pt idx="644" c:formatCode="0.00_ ">
                  <c:v>61.5457209558905</c:v>
                </c:pt>
                <c:pt idx="645" c:formatCode="0.00_ ">
                  <c:v>61.7022708304737</c:v>
                </c:pt>
                <c:pt idx="646" c:formatCode="0.00_ ">
                  <c:v>61.2300357331762</c:v>
                </c:pt>
                <c:pt idx="647" c:formatCode="0.00_ ">
                  <c:v>61.1969925774556</c:v>
                </c:pt>
                <c:pt idx="648" c:formatCode="0.00_ ">
                  <c:v>61.6385383191489</c:v>
                </c:pt>
                <c:pt idx="649" c:formatCode="0.00_ ">
                  <c:v>61.3849005869007</c:v>
                </c:pt>
                <c:pt idx="650" c:formatCode="0.00_ ">
                  <c:v>61.3324664679064</c:v>
                </c:pt>
                <c:pt idx="651" c:formatCode="0.00_ ">
                  <c:v>61.3744750850132</c:v>
                </c:pt>
                <c:pt idx="652" c:formatCode="0.00_ ">
                  <c:v>61.6618082844672</c:v>
                </c:pt>
                <c:pt idx="653" c:formatCode="0.00_ ">
                  <c:v>61.6764149542533</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779382995"/>
        <c:crosses val="autoZero"/>
        <c:auto val="1"/>
        <c:lblOffset val="100"/>
        <c:baseTimeUnit val="days"/>
        <c:majorUnit val="2"/>
        <c:majorTimeUnit val="month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'[区域银行理财产品指数（202408）.xlsx]固收整体'!$I$2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'[区域银行理财产品指数（202408）.xlsx]固收整体'!$A$3:$A$35</c:f>
              <c:numCache>
                <c:formatCode>yyyy\-mm</c:formatCode>
                <c:ptCount val="33"/>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numCache>
            </c:numRef>
          </c:cat>
          <c:val>
            <c:numRef>
              <c:f>'[区域银行理财产品指数（202408）.xlsx]固收整体'!$I$3:$I$35</c:f>
              <c:numCache>
                <c:formatCode>General</c:formatCode>
                <c:ptCount val="33"/>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'[区域银行理财产品指数（202408）.xlsx]固收整体'!$G$2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'[区域银行理财产品指数（202408）.xlsx]固收整体'!$A$3:$A$35</c15:sqref>
                        </c15:formulaRef>
                      </c:ext>
                    </c:extLst>
                    <c:numCache>
                      <c:formatCode>yyyy\-mm</c:formatCode>
                      <c:ptCount val="33"/>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108.659871750677}</c15:sqref>
                        </c15:formulaRef>
                      </c:ext>
                    </c:extLst>
                    <c:numCache>
                      <c:formatCode>General</c:formatCode>
                      <c:ptCount val="33"/>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108.553468818981</c:v>
                      </c:pt>
                      <c:pt idx="32" c:formatCode="0.00_ ">
                        <c:v>108.659871750677</c:v>
                      </c:pt>
                    </c:numCache>
                  </c:numRef>
                </c:val>
                <c:smooth val="0"/>
              </c15:ser>
            </c15:filteredLineSeries>
            <c15:filteredLineSeries>
              <c15:ser>
                <c:idx val="1"/>
                <c:order val="1"/>
                <c:tx>
                  <c:strRef>
                    <c:extLst>
                      <c:ext uri="{02D57815-91ED-43cb-92C2-25804820EDAC}">
                        <c15:formulaRef>
                          <c15:sqref>'[区域银行理财产品指数（202408）.xlsx]固收整体'!$H$2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'[区域银行理财产品指数（202408）.xlsx]固收整体'!$A$3:$A$35</c15:sqref>
                        </c15:formulaRef>
                      </c:ext>
                    </c:extLst>
                    <c:numCache>
                      <c:formatCode>yyyy\-mm</c:formatCode>
                      <c:ptCount val="33"/>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c15:sqref>
                        </c15:formulaRef>
                      </c:ext>
                    </c:extLst>
                    <c:numCache>
                      <c:formatCode>General</c:formatCode>
                      <c:ptCount val="33"/>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3127</Words>
  <Characters>3535</Characters>
  <Lines>13</Lines>
  <Paragraphs>3</Paragraphs>
  <TotalTime>1286</TotalTime>
  <ScaleCrop>false</ScaleCrop>
  <LinksUpToDate>false</LinksUpToDate>
  <CharactersWithSpaces>3535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2024-09-14T02:58:30Z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7DBF179259514D43BD085DEB5F9D385C_13</vt:lpwstr>
  </property>
</Properties>
</file>