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4</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9</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9</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收益持续下行</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1.32</w:t>
      </w:r>
      <w:r>
        <w:rPr>
          <w:rFonts w:hint="eastAsia" w:ascii="楷体" w:hAnsi="楷体" w:eastAsia="楷体" w:cs="楷体"/>
          <w:b/>
          <w:bCs/>
          <w:sz w:val="28"/>
          <w:szCs w:val="28"/>
          <w:highlight w:val="none"/>
        </w:rPr>
        <w:t>%</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现金管理产品七日年化收益率</w:t>
      </w:r>
      <w:r>
        <w:rPr>
          <w:rFonts w:hint="eastAsia" w:ascii="楷体" w:hAnsi="楷体" w:eastAsia="楷体" w:cs="楷体"/>
          <w:b/>
          <w:bCs/>
          <w:sz w:val="24"/>
          <w:lang w:val="en-US" w:eastAsia="zh-CN"/>
        </w:rPr>
        <w:t>月</w:t>
      </w:r>
      <w:r>
        <w:rPr>
          <w:rFonts w:hint="eastAsia" w:ascii="楷体" w:hAnsi="楷体" w:eastAsia="楷体" w:cs="楷体"/>
          <w:b/>
          <w:bCs/>
          <w:sz w:val="24"/>
        </w:rPr>
        <w:t>均值</w:t>
      </w:r>
      <w:r>
        <w:rPr>
          <w:rFonts w:hint="eastAsia" w:ascii="楷体" w:hAnsi="楷体" w:eastAsia="楷体" w:cs="楷体"/>
          <w:b/>
          <w:bCs/>
          <w:sz w:val="24"/>
          <w:lang w:val="en-US" w:eastAsia="zh-CN"/>
        </w:rPr>
        <w:t>继续下行</w:t>
      </w:r>
    </w:p>
    <w:p w14:paraId="666B94AA">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截至2024年9月，全国现金管理类产品月均七日年化收益率为1.79%，较上月环比下降2BP，较基期月均值下降110BP。</w:t>
      </w:r>
      <w:r>
        <w:rPr>
          <w:rFonts w:hint="eastAsia" w:ascii="楷体" w:hAnsi="楷体" w:eastAsia="楷体" w:cs="楷体"/>
          <w:sz w:val="24"/>
          <w:highlight w:val="none"/>
          <w:lang w:val="en-US" w:eastAsia="zh-CN"/>
        </w:rPr>
        <w:t>月末资金面季节性收紧，但在央行降息降准利好影响下资金面整体均衡。全国地区现金管理类产品平均近7日年化收益率本月整体继续下行。</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全国现金管理产品七日年化收益率</w:t>
      </w:r>
      <w:r>
        <w:rPr>
          <w:rFonts w:hint="eastAsia" w:ascii="楷体" w:hAnsi="楷体" w:eastAsia="楷体" w:cs="楷体"/>
          <w:b/>
          <w:szCs w:val="21"/>
          <w:lang w:val="en-US" w:eastAsia="zh-CN"/>
        </w:rPr>
        <w:t>月</w:t>
      </w:r>
      <w:r>
        <w:rPr>
          <w:rFonts w:hint="eastAsia" w:ascii="楷体" w:hAnsi="楷体" w:eastAsia="楷体" w:cs="楷体"/>
          <w:b/>
          <w:szCs w:val="21"/>
        </w:rPr>
        <w:t>均值走势</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177790" cy="3009265"/>
                  <wp:effectExtent l="4445" t="4445" r="18415"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4DEE46DA">
      <w:pPr>
        <w:widowControl/>
        <w:numPr>
          <w:ilvl w:val="0"/>
          <w:numId w:val="0"/>
        </w:numPr>
        <w:spacing w:line="360" w:lineRule="auto"/>
        <w:ind w:firstLine="480" w:firstLineChars="200"/>
        <w:jc w:val="left"/>
        <w:rPr>
          <w:rFonts w:hint="eastAsia" w:ascii="楷体" w:hAnsi="楷体" w:eastAsia="楷体" w:cs="楷体"/>
          <w:sz w:val="24"/>
          <w:highlight w:val="none"/>
          <w:lang w:val="en-US" w:eastAsia="zh-CN" w:bidi="ar"/>
        </w:rPr>
      </w:pPr>
      <w:r>
        <w:rPr>
          <w:rFonts w:hint="eastAsia" w:ascii="楷体" w:hAnsi="楷体" w:eastAsia="楷体" w:cs="楷体"/>
          <w:sz w:val="24"/>
          <w:highlight w:val="none"/>
          <w:lang w:val="en-US" w:eastAsia="zh-CN"/>
        </w:rPr>
        <w:t>公开市场方面，9月18日有5910亿MLF到期，央行于25日开展MLF操作，投放规模3000亿元，净回笼2910亿元，但利率下调30BP至2.0%；央行逆回购净投放2933亿元，月末逆回购余额升至1.70万亿，处于近年同期偏高水平；央行公布9月PSL继续净归还700亿元，以及考虑少量结构性货币政策工具按月操作，我们预计9月央行对其他存款性公司债权环比下降约500亿元。此外，央行于9月27日下调存款准备金率0.5个百分点，向金融市场提供长期流动性约1万亿元；9月央行开展公开市场国债买卖操作，全月净买入债券面值为2000亿元。综合来看，我们预计9月超储率约1.5%，较8月上升0.5pct，处于季末月份的中性水平，较去年同期偏高0.1pct。</w:t>
      </w:r>
    </w:p>
    <w:p w14:paraId="7B4EFC7F">
      <w:pPr>
        <w:keepNext w:val="0"/>
        <w:keepLines w:val="0"/>
        <w:widowControl/>
        <w:numPr>
          <w:ilvl w:val="0"/>
          <w:numId w:val="0"/>
        </w:numPr>
        <w:suppressLineNumbers w:val="0"/>
        <w:spacing w:line="360" w:lineRule="auto"/>
        <w:ind w:firstLine="480" w:firstLineChars="200"/>
        <w:jc w:val="left"/>
        <w:rPr>
          <w:rFonts w:hint="eastAsia" w:ascii="楷体" w:hAnsi="楷体" w:eastAsia="楷体" w:cs="楷体"/>
          <w:sz w:val="24"/>
          <w:highlight w:val="none"/>
          <w:lang w:bidi="ar"/>
        </w:rPr>
      </w:pPr>
      <w:r>
        <w:rPr>
          <w:rFonts w:hint="eastAsia" w:ascii="楷体" w:hAnsi="楷体" w:eastAsia="楷体" w:cs="楷体"/>
          <w:b w:val="0"/>
          <w:bCs w:val="0"/>
          <w:kern w:val="2"/>
          <w:sz w:val="24"/>
          <w:szCs w:val="24"/>
          <w:highlight w:val="none"/>
          <w:lang w:val="en-US" w:eastAsia="zh-CN" w:bidi="ar"/>
        </w:rPr>
        <w:t>央行降准降息已在9月落地，考虑稳增长的诉求力度增强，央行或无需打破资金利率围绕政策利率波动的规律，且降准叠加政府债净融资规模的下降，也有望使银行的负债压力缓解，因此从逻辑上看，10月资金利率仍有望明显转松。央行OMO利率调降20BP已在9月末落地，考虑央行在9月末的新闻发布会上对于稳增长的意愿显著增强，强调坚定坚持支持性的货币政策立场，或无需打破今年以来DR007均值在OMO利率上方5-10BP的规律。另一方面，9月降准已经落地，政府债净融资在8-9月的高增后，年内剩余规模可能大幅下降，根据当前发行计划，我们估计10月政府债净融资规模可能降至9000亿，即便Q4再增发2万亿政府债，Q4月均净融资规模大约在1.1万亿，也会明显低于8-9月，而前期政府债募集资金也有望加速投放，再考虑信贷需求的改善仍然需要时间，银行的负债压力也有望逐步缓释，这也有利于资金分层现象的消退。因此，从逻辑上看，认为10月资金利率有望明显转松。</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1.32</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9月底债市震荡</w:t>
      </w:r>
      <w:r>
        <w:rPr>
          <w:rFonts w:hint="eastAsia" w:ascii="楷体" w:hAnsi="楷体" w:eastAsia="楷体" w:cs="楷体"/>
          <w:color w:val="000000" w:themeColor="text1"/>
          <w:sz w:val="24"/>
          <w:lang w:val="en-US" w:eastAsia="zh-CN"/>
          <w14:textFill>
            <w14:solidFill>
              <w14:schemeClr w14:val="tx1"/>
            </w14:solidFill>
          </w14:textFill>
        </w:rPr>
        <w:t>，固收类产品收益有所下降</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过去三个月投资收益为0.54%，较上月下降3BP；过去六个月投资收益为1.32%，较上月下降2BP。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过去三个月投资收益为0.53%，较上月环比下降4BP；过去六个月投资收益达1.21%，较上月下降1BP。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过去三个月投资收益为0.55%，较上月下降4BP；过去六个月投资收益达1.36%，较上月下降1BP。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过去三个月投资收益为0.56%，较上月环比下降1BP；过去六个月投资收益达1.51%，较上月环比下降1BP。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30C09BA1">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9月份，短、中期国债到期收益率下降，短、中期企业债到期收益率上升。具体来看，9月30日，6个月和1年期国债到期收益率分别为1.43%、1.43%，较8月底分别环比下降7.07BP、5.2P；6个月AAA企业债和1年期AAA企业债到期收益率分别为2.14%和2.19%，较8月底分别环比上升11.58BP和11.64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742815" cy="3276600"/>
                  <wp:effectExtent l="4445" t="4445" r="15240" b="14605"/>
                  <wp:docPr id="135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018255D">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9月份，2年期、10年期国债到期收益率下降，2年期和10年期AAA企业债到期收益率上升。具体来看，9月30日，2年期和10年期国债到期收益率为1.52%和2.15%，较8月底分别环比下降0.25BP和2.02BP；2年和10年期AAA企业债到期收益率为2.28%和2.57%，较8月底分别环比上升14.13BP和7.34BP。</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779010" cy="3210560"/>
                  <wp:effectExtent l="5080" t="4445" r="16510" b="23495"/>
                  <wp:docPr id="135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继续下行</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2024年9月，全国银行理财市场现金管理类产品收益指数整体延续下行趋势，截至2024年9月30日，全国银行理财市场现金管理类产品收益指数为62.91，较上月环比下降1.24点，较基期下降37.09点。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2130"/>
                  <wp:effectExtent l="4445" t="4445" r="21590" b="9525"/>
                  <wp:docPr id="1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增速有所放缓</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9</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107.52</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上升0.21</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涨幅0.20</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7.52</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7.52%</w:t>
      </w:r>
      <w:r>
        <w:rPr>
          <w:rFonts w:hint="eastAsia" w:ascii="楷体" w:hAnsi="楷体" w:eastAsia="楷体" w:cs="楷体"/>
          <w:color w:val="000000" w:themeColor="text1"/>
          <w:sz w:val="24"/>
          <w14:textFill>
            <w14:solidFill>
              <w14:schemeClr w14:val="tx1"/>
            </w14:solidFill>
          </w14:textFill>
        </w:rPr>
        <w:t>。</w:t>
      </w:r>
    </w:p>
    <w:tbl>
      <w:tblPr>
        <w:tblStyle w:val="7"/>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0.21%</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0.54%</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1.32%</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1948815</wp:posOffset>
                  </wp:positionH>
                  <wp:positionV relativeFrom="paragraph">
                    <wp:posOffset>97790</wp:posOffset>
                  </wp:positionV>
                  <wp:extent cx="1390650" cy="533400"/>
                  <wp:effectExtent l="0" t="0" r="0" b="0"/>
                  <wp:wrapNone/>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13"/>
                          <a:stretch>
                            <a:fillRect/>
                          </a:stretch>
                        </pic:blipFill>
                        <pic:spPr>
                          <a:xfrm>
                            <a:off x="0" y="0"/>
                            <a:ext cx="1390650" cy="533400"/>
                          </a:xfrm>
                          <a:prstGeom prst="rect">
                            <a:avLst/>
                          </a:prstGeom>
                          <a:noFill/>
                          <a:ln>
                            <a:noFill/>
                          </a:ln>
                        </pic:spPr>
                      </pic:pic>
                    </a:graphicData>
                  </a:graphic>
                </wp:anchor>
              </w:drawing>
            </w:r>
            <w:r>
              <w:drawing>
                <wp:inline distT="0" distB="0" distL="114300" distR="114300">
                  <wp:extent cx="4781550" cy="3013075"/>
                  <wp:effectExtent l="4445" t="4445" r="14605" b="11430"/>
                  <wp:docPr id="1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分期限来看，9</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107.20</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上升0.19</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涨幅0.18</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7.20</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7.20%；中期固收类产品收益指数为107.81点，环比上升0.22点，环比涨幅0.20%，指数较基期上升7.81点，增长7.81%；长期固收类产品收益指数为107.91点，环比上升0.26点，环比涨幅0.24%，指数较基期上升7.91点，增长7.91%。</w:t>
      </w:r>
    </w:p>
    <w:tbl>
      <w:tblPr>
        <w:tblStyle w:val="7"/>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0.18%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1.21%</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0.20%</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1.36%</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0.24%</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0.56%</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1.51%</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bookmarkStart w:id="1" w:name="_GoBack"/>
            <w:r>
              <w:drawing>
                <wp:inline distT="0" distB="0" distL="114300" distR="114300">
                  <wp:extent cx="5154295" cy="2848610"/>
                  <wp:effectExtent l="4445" t="4445" r="22860" b="23495"/>
                  <wp:docPr id="1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bookmarkEnd w:id="1"/>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B336C"/>
    <w:rsid w:val="04114AC6"/>
    <w:rsid w:val="045F6D02"/>
    <w:rsid w:val="0480239D"/>
    <w:rsid w:val="048F3CBD"/>
    <w:rsid w:val="04907A6A"/>
    <w:rsid w:val="04AD3DAA"/>
    <w:rsid w:val="04B844FD"/>
    <w:rsid w:val="05761C29"/>
    <w:rsid w:val="0600190E"/>
    <w:rsid w:val="062475CD"/>
    <w:rsid w:val="062A3A78"/>
    <w:rsid w:val="063442C2"/>
    <w:rsid w:val="06510766"/>
    <w:rsid w:val="06733F4B"/>
    <w:rsid w:val="06AA75E4"/>
    <w:rsid w:val="06AA76A8"/>
    <w:rsid w:val="06C56765"/>
    <w:rsid w:val="06DA5F06"/>
    <w:rsid w:val="0708721D"/>
    <w:rsid w:val="07A77994"/>
    <w:rsid w:val="07BB67DE"/>
    <w:rsid w:val="08497AA2"/>
    <w:rsid w:val="08B60D54"/>
    <w:rsid w:val="08DC39E0"/>
    <w:rsid w:val="08EE6E9A"/>
    <w:rsid w:val="08FC6215"/>
    <w:rsid w:val="09150170"/>
    <w:rsid w:val="09843C8B"/>
    <w:rsid w:val="098D41AA"/>
    <w:rsid w:val="09B94653"/>
    <w:rsid w:val="0A22765F"/>
    <w:rsid w:val="0A31663D"/>
    <w:rsid w:val="0A3B0017"/>
    <w:rsid w:val="0A611635"/>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F34AB0"/>
    <w:rsid w:val="0F4B372F"/>
    <w:rsid w:val="0F5F0397"/>
    <w:rsid w:val="0F8356F6"/>
    <w:rsid w:val="0FC226D4"/>
    <w:rsid w:val="0FD86B39"/>
    <w:rsid w:val="0FEE78F2"/>
    <w:rsid w:val="10B94DCF"/>
    <w:rsid w:val="10CA514A"/>
    <w:rsid w:val="10E50428"/>
    <w:rsid w:val="11266B4B"/>
    <w:rsid w:val="129B3B91"/>
    <w:rsid w:val="130A3724"/>
    <w:rsid w:val="13C124B3"/>
    <w:rsid w:val="13C32DA1"/>
    <w:rsid w:val="142F0E9B"/>
    <w:rsid w:val="14342E34"/>
    <w:rsid w:val="1480391E"/>
    <w:rsid w:val="14C70887"/>
    <w:rsid w:val="14EB1F91"/>
    <w:rsid w:val="14F92001"/>
    <w:rsid w:val="153222F7"/>
    <w:rsid w:val="1570073A"/>
    <w:rsid w:val="160F2852"/>
    <w:rsid w:val="1687464A"/>
    <w:rsid w:val="16FE1B4A"/>
    <w:rsid w:val="170553D9"/>
    <w:rsid w:val="17377504"/>
    <w:rsid w:val="178A26E7"/>
    <w:rsid w:val="17AA5239"/>
    <w:rsid w:val="17AD010A"/>
    <w:rsid w:val="17E5123B"/>
    <w:rsid w:val="17F2366E"/>
    <w:rsid w:val="18110147"/>
    <w:rsid w:val="1835785D"/>
    <w:rsid w:val="183B6476"/>
    <w:rsid w:val="183C0109"/>
    <w:rsid w:val="188B5D59"/>
    <w:rsid w:val="189964EA"/>
    <w:rsid w:val="18B52DD6"/>
    <w:rsid w:val="18F90150"/>
    <w:rsid w:val="1916056B"/>
    <w:rsid w:val="198354F2"/>
    <w:rsid w:val="19E37072"/>
    <w:rsid w:val="19FE5CD3"/>
    <w:rsid w:val="1ABA058B"/>
    <w:rsid w:val="1AC67C71"/>
    <w:rsid w:val="1AF52BBE"/>
    <w:rsid w:val="1B1F1786"/>
    <w:rsid w:val="1B3664EA"/>
    <w:rsid w:val="1BD83EBC"/>
    <w:rsid w:val="1C2002E2"/>
    <w:rsid w:val="1C2F49B6"/>
    <w:rsid w:val="1CA034BD"/>
    <w:rsid w:val="1CE65B87"/>
    <w:rsid w:val="1CFC7225"/>
    <w:rsid w:val="1D4D37B5"/>
    <w:rsid w:val="1D5C5C9E"/>
    <w:rsid w:val="1DC60161"/>
    <w:rsid w:val="1DEC0A26"/>
    <w:rsid w:val="1E1D1F55"/>
    <w:rsid w:val="1E4532CA"/>
    <w:rsid w:val="1E4C7DC2"/>
    <w:rsid w:val="1E6F44CA"/>
    <w:rsid w:val="1E7A1067"/>
    <w:rsid w:val="1ED9141C"/>
    <w:rsid w:val="1EEE7875"/>
    <w:rsid w:val="1F094F0C"/>
    <w:rsid w:val="1F415B52"/>
    <w:rsid w:val="1F775289"/>
    <w:rsid w:val="1F98623E"/>
    <w:rsid w:val="20124FB2"/>
    <w:rsid w:val="201721F5"/>
    <w:rsid w:val="206A094A"/>
    <w:rsid w:val="206D5E77"/>
    <w:rsid w:val="206F58BB"/>
    <w:rsid w:val="20AA214D"/>
    <w:rsid w:val="21617F9F"/>
    <w:rsid w:val="21EC5EE5"/>
    <w:rsid w:val="22266E5B"/>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8046D14"/>
    <w:rsid w:val="28074CA2"/>
    <w:rsid w:val="28176D65"/>
    <w:rsid w:val="281D0719"/>
    <w:rsid w:val="28280ABF"/>
    <w:rsid w:val="28332D7F"/>
    <w:rsid w:val="286A598B"/>
    <w:rsid w:val="28B47F60"/>
    <w:rsid w:val="28BC3374"/>
    <w:rsid w:val="29671ECA"/>
    <w:rsid w:val="298F257A"/>
    <w:rsid w:val="29BF7F53"/>
    <w:rsid w:val="29CC7F7F"/>
    <w:rsid w:val="2A1A6425"/>
    <w:rsid w:val="2A1D5B1A"/>
    <w:rsid w:val="2A4F4458"/>
    <w:rsid w:val="2A894729"/>
    <w:rsid w:val="2A9A4101"/>
    <w:rsid w:val="2ABF0EFF"/>
    <w:rsid w:val="2AE94250"/>
    <w:rsid w:val="2AF21991"/>
    <w:rsid w:val="2B227E36"/>
    <w:rsid w:val="2B4A2C69"/>
    <w:rsid w:val="2BBE23F4"/>
    <w:rsid w:val="2BE7010A"/>
    <w:rsid w:val="2BF74302"/>
    <w:rsid w:val="2C0A59C8"/>
    <w:rsid w:val="2C41345C"/>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C514C"/>
    <w:rsid w:val="30640F12"/>
    <w:rsid w:val="3074739E"/>
    <w:rsid w:val="30AD0B0B"/>
    <w:rsid w:val="30F50609"/>
    <w:rsid w:val="31215055"/>
    <w:rsid w:val="313802AE"/>
    <w:rsid w:val="31710D9C"/>
    <w:rsid w:val="31B9027E"/>
    <w:rsid w:val="31BB0CC6"/>
    <w:rsid w:val="31C0661C"/>
    <w:rsid w:val="31C12394"/>
    <w:rsid w:val="31D64D15"/>
    <w:rsid w:val="320261C4"/>
    <w:rsid w:val="32163EC8"/>
    <w:rsid w:val="323F406E"/>
    <w:rsid w:val="325064C8"/>
    <w:rsid w:val="327354E6"/>
    <w:rsid w:val="3277593D"/>
    <w:rsid w:val="32D664CF"/>
    <w:rsid w:val="32F42FBE"/>
    <w:rsid w:val="33243E3B"/>
    <w:rsid w:val="333724CA"/>
    <w:rsid w:val="3337290D"/>
    <w:rsid w:val="33C12740"/>
    <w:rsid w:val="33C601DE"/>
    <w:rsid w:val="340139AD"/>
    <w:rsid w:val="34140EA1"/>
    <w:rsid w:val="343E7C43"/>
    <w:rsid w:val="3474249F"/>
    <w:rsid w:val="34B54E13"/>
    <w:rsid w:val="34D5292D"/>
    <w:rsid w:val="352C1FEF"/>
    <w:rsid w:val="35590699"/>
    <w:rsid w:val="3564585C"/>
    <w:rsid w:val="35E82D0F"/>
    <w:rsid w:val="363E0065"/>
    <w:rsid w:val="367C3A34"/>
    <w:rsid w:val="36C56482"/>
    <w:rsid w:val="37136C8A"/>
    <w:rsid w:val="3724042E"/>
    <w:rsid w:val="373E370A"/>
    <w:rsid w:val="376B0D44"/>
    <w:rsid w:val="377655FB"/>
    <w:rsid w:val="3819071C"/>
    <w:rsid w:val="38415FDC"/>
    <w:rsid w:val="38C8225A"/>
    <w:rsid w:val="38D20CF3"/>
    <w:rsid w:val="38E33FD5"/>
    <w:rsid w:val="38ED43C7"/>
    <w:rsid w:val="39636982"/>
    <w:rsid w:val="39795DE8"/>
    <w:rsid w:val="39914FE8"/>
    <w:rsid w:val="3A1B1711"/>
    <w:rsid w:val="3A84599A"/>
    <w:rsid w:val="3AB848A5"/>
    <w:rsid w:val="3AE64DDB"/>
    <w:rsid w:val="3AFD3A11"/>
    <w:rsid w:val="3AFD4854"/>
    <w:rsid w:val="3B021A53"/>
    <w:rsid w:val="3B445203"/>
    <w:rsid w:val="3B79633E"/>
    <w:rsid w:val="3C101F4E"/>
    <w:rsid w:val="3C152AF5"/>
    <w:rsid w:val="3C8A0FF0"/>
    <w:rsid w:val="3C93031D"/>
    <w:rsid w:val="3CA03356"/>
    <w:rsid w:val="3D321D80"/>
    <w:rsid w:val="3D34424D"/>
    <w:rsid w:val="3D7E1BAC"/>
    <w:rsid w:val="3E3F09AD"/>
    <w:rsid w:val="3E5661DC"/>
    <w:rsid w:val="3E75105D"/>
    <w:rsid w:val="3E8C44DE"/>
    <w:rsid w:val="3EC06FE2"/>
    <w:rsid w:val="3EC3085F"/>
    <w:rsid w:val="3EDF15F3"/>
    <w:rsid w:val="3EE8674C"/>
    <w:rsid w:val="3EF10652"/>
    <w:rsid w:val="3F3B2ABF"/>
    <w:rsid w:val="3F457ABB"/>
    <w:rsid w:val="3F501217"/>
    <w:rsid w:val="3F5F1797"/>
    <w:rsid w:val="3FAD71CC"/>
    <w:rsid w:val="3FBA50C3"/>
    <w:rsid w:val="3FBA6DA0"/>
    <w:rsid w:val="3FCE1C4B"/>
    <w:rsid w:val="40132AC3"/>
    <w:rsid w:val="408110D3"/>
    <w:rsid w:val="40BD3B3B"/>
    <w:rsid w:val="40C41E8A"/>
    <w:rsid w:val="41115436"/>
    <w:rsid w:val="413B014E"/>
    <w:rsid w:val="414108DA"/>
    <w:rsid w:val="414803DC"/>
    <w:rsid w:val="41552871"/>
    <w:rsid w:val="41E46FD4"/>
    <w:rsid w:val="41E84399"/>
    <w:rsid w:val="41EB78A8"/>
    <w:rsid w:val="41F7515B"/>
    <w:rsid w:val="41FA6F58"/>
    <w:rsid w:val="421F2042"/>
    <w:rsid w:val="42527A60"/>
    <w:rsid w:val="427B20EB"/>
    <w:rsid w:val="4298502E"/>
    <w:rsid w:val="42A21686"/>
    <w:rsid w:val="42F073B3"/>
    <w:rsid w:val="431935EC"/>
    <w:rsid w:val="43B9721F"/>
    <w:rsid w:val="444E7AB7"/>
    <w:rsid w:val="44897DBD"/>
    <w:rsid w:val="449256FE"/>
    <w:rsid w:val="44F17D02"/>
    <w:rsid w:val="44FC26CB"/>
    <w:rsid w:val="45450B59"/>
    <w:rsid w:val="457E617A"/>
    <w:rsid w:val="45967968"/>
    <w:rsid w:val="45E76415"/>
    <w:rsid w:val="4604250D"/>
    <w:rsid w:val="461463FA"/>
    <w:rsid w:val="463D789F"/>
    <w:rsid w:val="468410A9"/>
    <w:rsid w:val="46B75B05"/>
    <w:rsid w:val="46D903DA"/>
    <w:rsid w:val="478B0022"/>
    <w:rsid w:val="481079AC"/>
    <w:rsid w:val="485D476D"/>
    <w:rsid w:val="48657AC5"/>
    <w:rsid w:val="488D1E5B"/>
    <w:rsid w:val="48930CEF"/>
    <w:rsid w:val="490A5702"/>
    <w:rsid w:val="49382E5D"/>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6E1DDE"/>
    <w:rsid w:val="4DDB0306"/>
    <w:rsid w:val="4E10402F"/>
    <w:rsid w:val="4E9B4550"/>
    <w:rsid w:val="4EAA7FE0"/>
    <w:rsid w:val="4EB1725D"/>
    <w:rsid w:val="4ECE73F3"/>
    <w:rsid w:val="4ED41501"/>
    <w:rsid w:val="4F2558B8"/>
    <w:rsid w:val="4F307BED"/>
    <w:rsid w:val="4F3757CB"/>
    <w:rsid w:val="4F847CE4"/>
    <w:rsid w:val="50273B59"/>
    <w:rsid w:val="50377F99"/>
    <w:rsid w:val="507A2D0E"/>
    <w:rsid w:val="508907CF"/>
    <w:rsid w:val="50DD1A7D"/>
    <w:rsid w:val="50E84DEF"/>
    <w:rsid w:val="50FE0B09"/>
    <w:rsid w:val="51143E36"/>
    <w:rsid w:val="513E1869"/>
    <w:rsid w:val="514A0FE0"/>
    <w:rsid w:val="51E83CAE"/>
    <w:rsid w:val="51F6353C"/>
    <w:rsid w:val="51FE15B7"/>
    <w:rsid w:val="522B768A"/>
    <w:rsid w:val="524136B8"/>
    <w:rsid w:val="5246352F"/>
    <w:rsid w:val="52BB7FB0"/>
    <w:rsid w:val="53126132"/>
    <w:rsid w:val="5324179A"/>
    <w:rsid w:val="532C41CA"/>
    <w:rsid w:val="534704F3"/>
    <w:rsid w:val="5382152B"/>
    <w:rsid w:val="539A6771"/>
    <w:rsid w:val="53AF548C"/>
    <w:rsid w:val="54305A92"/>
    <w:rsid w:val="543F19F5"/>
    <w:rsid w:val="54461671"/>
    <w:rsid w:val="54741E50"/>
    <w:rsid w:val="547A21C6"/>
    <w:rsid w:val="54A97B40"/>
    <w:rsid w:val="556C38E1"/>
    <w:rsid w:val="55AF05D2"/>
    <w:rsid w:val="55E32420"/>
    <w:rsid w:val="56395FD4"/>
    <w:rsid w:val="56FE5CEA"/>
    <w:rsid w:val="575A3A43"/>
    <w:rsid w:val="575D270F"/>
    <w:rsid w:val="58224769"/>
    <w:rsid w:val="583F45D6"/>
    <w:rsid w:val="586E207E"/>
    <w:rsid w:val="58867311"/>
    <w:rsid w:val="58B44857"/>
    <w:rsid w:val="590B3D71"/>
    <w:rsid w:val="59715A50"/>
    <w:rsid w:val="599A4A48"/>
    <w:rsid w:val="59E545C2"/>
    <w:rsid w:val="5A5D2664"/>
    <w:rsid w:val="5A8B4A50"/>
    <w:rsid w:val="5A9F6E67"/>
    <w:rsid w:val="5AF061B4"/>
    <w:rsid w:val="5B1C5572"/>
    <w:rsid w:val="5B2242B5"/>
    <w:rsid w:val="5B4C6344"/>
    <w:rsid w:val="5B56533D"/>
    <w:rsid w:val="5B8267D1"/>
    <w:rsid w:val="5C761E49"/>
    <w:rsid w:val="5C843CCD"/>
    <w:rsid w:val="5CCD12E9"/>
    <w:rsid w:val="5D5C0057"/>
    <w:rsid w:val="5D6972B8"/>
    <w:rsid w:val="5D9A2A3C"/>
    <w:rsid w:val="5DBF0557"/>
    <w:rsid w:val="5DD02D76"/>
    <w:rsid w:val="5E5B7B95"/>
    <w:rsid w:val="5E9C40DF"/>
    <w:rsid w:val="5EE9133C"/>
    <w:rsid w:val="5F2302B8"/>
    <w:rsid w:val="5F34283A"/>
    <w:rsid w:val="5FCC24AC"/>
    <w:rsid w:val="5FDC720B"/>
    <w:rsid w:val="5FE21F51"/>
    <w:rsid w:val="60112258"/>
    <w:rsid w:val="60F03F5F"/>
    <w:rsid w:val="612A1601"/>
    <w:rsid w:val="61323E55"/>
    <w:rsid w:val="613822E0"/>
    <w:rsid w:val="61922529"/>
    <w:rsid w:val="61AF4EC6"/>
    <w:rsid w:val="61E16E01"/>
    <w:rsid w:val="621974FF"/>
    <w:rsid w:val="626B6941"/>
    <w:rsid w:val="628420FD"/>
    <w:rsid w:val="628726BA"/>
    <w:rsid w:val="62A25D33"/>
    <w:rsid w:val="62B71C5C"/>
    <w:rsid w:val="62D41677"/>
    <w:rsid w:val="62F251EC"/>
    <w:rsid w:val="6341380F"/>
    <w:rsid w:val="63A147E3"/>
    <w:rsid w:val="6423749F"/>
    <w:rsid w:val="642D54E3"/>
    <w:rsid w:val="647021AC"/>
    <w:rsid w:val="6494075F"/>
    <w:rsid w:val="64C30A08"/>
    <w:rsid w:val="64F80B1E"/>
    <w:rsid w:val="65651219"/>
    <w:rsid w:val="656E190F"/>
    <w:rsid w:val="65AB12DA"/>
    <w:rsid w:val="65D51E2C"/>
    <w:rsid w:val="65DB492F"/>
    <w:rsid w:val="65E34CE2"/>
    <w:rsid w:val="66344B24"/>
    <w:rsid w:val="66B31978"/>
    <w:rsid w:val="66B57AB9"/>
    <w:rsid w:val="66F828ED"/>
    <w:rsid w:val="67C3525E"/>
    <w:rsid w:val="67F00EBC"/>
    <w:rsid w:val="68535CA7"/>
    <w:rsid w:val="687F5CCC"/>
    <w:rsid w:val="68C873DC"/>
    <w:rsid w:val="68F128B4"/>
    <w:rsid w:val="696668F3"/>
    <w:rsid w:val="69E66368"/>
    <w:rsid w:val="69F97D3B"/>
    <w:rsid w:val="69FE5C3C"/>
    <w:rsid w:val="6A1360C4"/>
    <w:rsid w:val="6A173BFF"/>
    <w:rsid w:val="6AD85B33"/>
    <w:rsid w:val="6AE04A70"/>
    <w:rsid w:val="6AE94BCC"/>
    <w:rsid w:val="6B0E619E"/>
    <w:rsid w:val="6B421874"/>
    <w:rsid w:val="6B606B9C"/>
    <w:rsid w:val="6BCA7D47"/>
    <w:rsid w:val="6BEE5558"/>
    <w:rsid w:val="6CB47A23"/>
    <w:rsid w:val="6CC24E19"/>
    <w:rsid w:val="6CC31B16"/>
    <w:rsid w:val="6CE16C69"/>
    <w:rsid w:val="6D090170"/>
    <w:rsid w:val="6D1A3680"/>
    <w:rsid w:val="6D2A25C0"/>
    <w:rsid w:val="6D3B6042"/>
    <w:rsid w:val="6DB63E53"/>
    <w:rsid w:val="6DD5581E"/>
    <w:rsid w:val="6E4B5C71"/>
    <w:rsid w:val="6E99523C"/>
    <w:rsid w:val="6EC627BC"/>
    <w:rsid w:val="6EE106F0"/>
    <w:rsid w:val="6EFF7A7C"/>
    <w:rsid w:val="6F17388B"/>
    <w:rsid w:val="6F1A26D7"/>
    <w:rsid w:val="6F566BE6"/>
    <w:rsid w:val="6F6D2C38"/>
    <w:rsid w:val="6FFF15A5"/>
    <w:rsid w:val="702B1097"/>
    <w:rsid w:val="703230A8"/>
    <w:rsid w:val="70420099"/>
    <w:rsid w:val="711D0E2F"/>
    <w:rsid w:val="715B116D"/>
    <w:rsid w:val="71B479B2"/>
    <w:rsid w:val="71BC2560"/>
    <w:rsid w:val="72675224"/>
    <w:rsid w:val="72B012AF"/>
    <w:rsid w:val="72B434FE"/>
    <w:rsid w:val="73146F5D"/>
    <w:rsid w:val="73424A76"/>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3F3E75"/>
    <w:rsid w:val="76491C40"/>
    <w:rsid w:val="764E3A9B"/>
    <w:rsid w:val="76C743F2"/>
    <w:rsid w:val="76C9109B"/>
    <w:rsid w:val="76C91F9F"/>
    <w:rsid w:val="76D346DA"/>
    <w:rsid w:val="76E77774"/>
    <w:rsid w:val="76F00707"/>
    <w:rsid w:val="773A49EE"/>
    <w:rsid w:val="77BE2663"/>
    <w:rsid w:val="78486651"/>
    <w:rsid w:val="784A5E71"/>
    <w:rsid w:val="785B21C7"/>
    <w:rsid w:val="786A09B8"/>
    <w:rsid w:val="78C13AD5"/>
    <w:rsid w:val="78F458AA"/>
    <w:rsid w:val="7A560E98"/>
    <w:rsid w:val="7AD520AB"/>
    <w:rsid w:val="7ADD2D6F"/>
    <w:rsid w:val="7B7D0C79"/>
    <w:rsid w:val="7BD61CB9"/>
    <w:rsid w:val="7C105182"/>
    <w:rsid w:val="7C562464"/>
    <w:rsid w:val="7C6C3F50"/>
    <w:rsid w:val="7C70631A"/>
    <w:rsid w:val="7C7E0244"/>
    <w:rsid w:val="7CA84607"/>
    <w:rsid w:val="7D180687"/>
    <w:rsid w:val="7D4908E1"/>
    <w:rsid w:val="7D583CBE"/>
    <w:rsid w:val="7D586CD5"/>
    <w:rsid w:val="7DA341C0"/>
    <w:rsid w:val="7DAF157B"/>
    <w:rsid w:val="7DB96AC4"/>
    <w:rsid w:val="7E10135E"/>
    <w:rsid w:val="7E583DC6"/>
    <w:rsid w:val="7E5F6222"/>
    <w:rsid w:val="7E614103"/>
    <w:rsid w:val="7EFC2F5B"/>
    <w:rsid w:val="7F214A01"/>
    <w:rsid w:val="7F2F17A2"/>
    <w:rsid w:val="7F3D4DC3"/>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autoRedefine/>
    <w:qFormat/>
    <w:uiPriority w:val="0"/>
    <w:rPr>
      <w:vertAlign w:val="superscript"/>
    </w:rPr>
  </w:style>
  <w:style w:type="character" w:customStyle="1" w:styleId="11">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3828;&#30427;&#24742;\&#24037;&#20316;&#20869;&#23481;\2024&#26032;&#29256;&#25351;&#25968;\2024&#24180;9&#26376;\2024&#24180;9&#26376;&#25351;&#25968;&#25968;&#25454;\&#21306;&#22495;&#38134;&#34892;&#29702;&#36130;&#20135;&#21697;&#25351;&#25968;&#65288;202409&#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3828;&#30427;&#24742;\&#24037;&#20316;&#20869;&#23481;\2024&#26032;&#29256;&#25351;&#25968;\2024&#24180;9&#26376;\2024&#24180;9&#26376;&#25351;&#25968;&#25968;&#25454;\&#21306;&#22495;&#38134;&#34892;&#29702;&#36130;&#20135;&#21697;&#25351;&#25968;&#65288;202409&#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oleObject" Target="file:///G:\&#23828;&#30427;&#24742;\&#24037;&#20316;&#20869;&#23481;\2024&#26032;&#29256;&#25351;&#25968;\2024&#24180;9&#26376;\2024&#24180;9&#26376;&#25351;&#25968;&#25968;&#25454;\&#21306;&#22495;&#38134;&#34892;&#29702;&#36130;&#20135;&#21697;&#25351;&#25968;&#65288;202409&#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3.xml"/><Relationship Id="rId1" Type="http://schemas.openxmlformats.org/officeDocument/2006/relationships/oleObject" Target="file:///G:\&#23828;&#30427;&#24742;\&#24037;&#20316;&#20869;&#23481;\2024&#26032;&#29256;&#25351;&#25968;\2024&#24180;9&#26376;\2024&#24180;9&#26376;&#25351;&#25968;&#25968;&#25454;\&#21306;&#22495;&#38134;&#34892;&#29702;&#36130;&#20135;&#21697;&#25351;&#25968;&#65288;202409&#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4.xml"/><Relationship Id="rId1" Type="http://schemas.openxmlformats.org/officeDocument/2006/relationships/oleObject" Target="file:///G:\&#23828;&#30427;&#24742;\&#24037;&#20316;&#20869;&#23481;\2024&#26032;&#29256;&#25351;&#25968;\2024&#24180;9&#26376;\2024&#24180;9&#26376;&#25351;&#25968;&#25968;&#25454;\&#21306;&#22495;&#38134;&#34892;&#29702;&#36130;&#20135;&#21697;&#25351;&#25968;&#65288;202409&#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oleObject" Target="file:///G:\&#23828;&#30427;&#24742;\&#24037;&#20316;&#20869;&#23481;\2024&#26032;&#29256;&#25351;&#25968;\2024&#24180;9&#26376;\2024&#24180;9&#26376;&#25351;&#25968;&#25968;&#25454;\&#21306;&#22495;&#38134;&#34892;&#29702;&#36130;&#20135;&#21697;&#25351;&#25968;&#65288;202409&#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9&#26376;\2024&#24180;9&#26376;&#25351;&#25968;&#25968;&#25454;\&#22269;&#20538;&#20225;&#19994;&#20538;&#25910;&#30410;&#29575;-&#25130;&#33267;2024&#24180;09&#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9&#26376;\2024&#24180;9&#26376;&#25351;&#25968;&#25968;&#25454;\&#22269;&#20538;&#20225;&#19994;&#20538;&#25910;&#30410;&#29575;-&#25130;&#33267;2024&#24180;09&#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G:\&#23828;&#30427;&#24742;\&#24037;&#20316;&#20869;&#23481;\2024&#26032;&#29256;&#25351;&#25968;\2024&#24180;9&#26376;\2024&#24180;9&#26376;&#25351;&#25968;&#25968;&#25454;\&#21306;&#22495;&#38134;&#34892;&#29702;&#36130;&#20135;&#21697;&#25351;&#25968;&#65288;202409&#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3828;&#30427;&#24742;\&#24037;&#20316;&#20869;&#23481;\2024&#26032;&#29256;&#25351;&#25968;\2024&#24180;9&#26376;\2024&#24180;9&#26376;&#25351;&#25968;&#25968;&#25454;\&#21306;&#22495;&#38134;&#34892;&#29702;&#36130;&#20135;&#21697;&#25351;&#25968;&#65288;202409&#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'[区域银行理财产品指数（202409）.xlsx]现金-单产品收益表现'!$C$37</c:f>
              <c:strCache>
                <c:ptCount val="1"/>
                <c:pt idx="0">
                  <c:v>全市场现金管理类产品</c:v>
                </c:pt>
              </c:strCache>
            </c:strRef>
          </c:tx>
          <c:spPr>
            <a:ln w="28575" cap="rnd">
              <a:solidFill>
                <a:schemeClr val="accent1"/>
              </a:solidFill>
              <a:round/>
            </a:ln>
            <a:effectLst/>
          </c:spPr>
          <c:marker>
            <c:symbol val="none"/>
          </c:marker>
          <c:dLbls>
            <c:delete val="1"/>
          </c:dLbls>
          <c:cat>
            <c:strRef>
              <c:f>'[区域银行理财产品指数（202409）.xlsx]现金-单产品收益表现'!$B$38:$B$70</c:f>
              <c:strCache>
                <c:ptCount val="33"/>
                <c:pt idx="0">
                  <c:v>2022-1</c:v>
                </c:pt>
                <c:pt idx="1">
                  <c:v>2022-2</c:v>
                </c:pt>
                <c:pt idx="2">
                  <c:v>2022-3</c:v>
                </c:pt>
                <c:pt idx="3">
                  <c:v>2022-4</c:v>
                </c:pt>
                <c:pt idx="4">
                  <c:v>2022-5</c:v>
                </c:pt>
                <c:pt idx="5">
                  <c:v>2022-6</c:v>
                </c:pt>
                <c:pt idx="6">
                  <c:v>2022-7</c:v>
                </c:pt>
                <c:pt idx="7">
                  <c:v>2022-8</c:v>
                </c:pt>
                <c:pt idx="8">
                  <c:v>2022-9</c:v>
                </c:pt>
                <c:pt idx="9">
                  <c:v>2022-10</c:v>
                </c:pt>
                <c:pt idx="10">
                  <c:v>2022-11</c:v>
                </c:pt>
                <c:pt idx="11">
                  <c:v>2022-12</c:v>
                </c:pt>
                <c:pt idx="12">
                  <c:v>2023-1</c:v>
                </c:pt>
                <c:pt idx="13">
                  <c:v>2023-2</c:v>
                </c:pt>
                <c:pt idx="14">
                  <c:v>2023-3</c:v>
                </c:pt>
                <c:pt idx="15">
                  <c:v>2023-4</c:v>
                </c:pt>
                <c:pt idx="16">
                  <c:v>2023-5</c:v>
                </c:pt>
                <c:pt idx="17">
                  <c:v>2023-6</c:v>
                </c:pt>
                <c:pt idx="18">
                  <c:v>2023-7</c:v>
                </c:pt>
                <c:pt idx="19">
                  <c:v>2023-8</c:v>
                </c:pt>
                <c:pt idx="20">
                  <c:v>2023-9</c:v>
                </c:pt>
                <c:pt idx="21">
                  <c:v>2023-10</c:v>
                </c:pt>
                <c:pt idx="22">
                  <c:v>2023-11</c:v>
                </c:pt>
                <c:pt idx="23">
                  <c:v>2023-12</c:v>
                </c:pt>
                <c:pt idx="24">
                  <c:v>2024-1</c:v>
                </c:pt>
                <c:pt idx="25" c:formatCode="@">
                  <c:v>2024-2</c:v>
                </c:pt>
                <c:pt idx="26">
                  <c:v>2024-3</c:v>
                </c:pt>
                <c:pt idx="27" c:formatCode="@">
                  <c:v>2024-4</c:v>
                </c:pt>
                <c:pt idx="28" c:formatCode="@">
                  <c:v>2024-5</c:v>
                </c:pt>
                <c:pt idx="29" c:formatCode="@">
                  <c:v>2024-6</c:v>
                </c:pt>
                <c:pt idx="30" c:formatCode="@">
                  <c:v>2024-7</c:v>
                </c:pt>
                <c:pt idx="31" c:formatCode="@">
                  <c:v>2024-8</c:v>
                </c:pt>
                <c:pt idx="32" c:formatCode="@">
                  <c:v>2024-9</c:v>
                </c:pt>
              </c:strCache>
            </c:strRef>
          </c:cat>
          <c:val>
            <c:numRef>
              <c:f>'[区域银行理财产品指数（202409）.xlsx]现金-单产品收益表现'!$C$38:$C$70</c:f>
              <c:numCache>
                <c:formatCode>0.00_ </c:formatCode>
                <c:ptCount val="33"/>
                <c:pt idx="0">
                  <c:v>2.8915348771836</c:v>
                </c:pt>
                <c:pt idx="1">
                  <c:v>2.80603666324886</c:v>
                </c:pt>
                <c:pt idx="2">
                  <c:v>2.77254139378673</c:v>
                </c:pt>
                <c:pt idx="3">
                  <c:v>2.68367847610283</c:v>
                </c:pt>
                <c:pt idx="4">
                  <c:v>2.62987709240297</c:v>
                </c:pt>
                <c:pt idx="5">
                  <c:v>2.57917469067064</c:v>
                </c:pt>
                <c:pt idx="6">
                  <c:v>2.55162453531597</c:v>
                </c:pt>
                <c:pt idx="7">
                  <c:v>2.4554070002282</c:v>
                </c:pt>
                <c:pt idx="8">
                  <c:v>2.39069933794236</c:v>
                </c:pt>
                <c:pt idx="9">
                  <c:v>2.29992637734332</c:v>
                </c:pt>
                <c:pt idx="10">
                  <c:v>2.15949052403242</c:v>
                </c:pt>
                <c:pt idx="11">
                  <c:v>2.12216833078262</c:v>
                </c:pt>
                <c:pt idx="12">
                  <c:v>2.24539328335832</c:v>
                </c:pt>
                <c:pt idx="13">
                  <c:v>2.22036700315786</c:v>
                </c:pt>
                <c:pt idx="14">
                  <c:v>2.29263504353867</c:v>
                </c:pt>
                <c:pt idx="15">
                  <c:v>2.38875032412523</c:v>
                </c:pt>
                <c:pt idx="16">
                  <c:v>2.28887949560373</c:v>
                </c:pt>
                <c:pt idx="17">
                  <c:v>2.30463753001716</c:v>
                </c:pt>
                <c:pt idx="18">
                  <c:v>2.31323882333924</c:v>
                </c:pt>
                <c:pt idx="19">
                  <c:v>2.16403496594361</c:v>
                </c:pt>
                <c:pt idx="20">
                  <c:v>2.18550698869675</c:v>
                </c:pt>
                <c:pt idx="21">
                  <c:v>2.31754732407696</c:v>
                </c:pt>
                <c:pt idx="22">
                  <c:v>2.23970571741762</c:v>
                </c:pt>
                <c:pt idx="23">
                  <c:v>2.35782673357432</c:v>
                </c:pt>
                <c:pt idx="24">
                  <c:v>2.33184483079715</c:v>
                </c:pt>
                <c:pt idx="25">
                  <c:v>2.24758454763469</c:v>
                </c:pt>
                <c:pt idx="26">
                  <c:v>2.22058960747103</c:v>
                </c:pt>
                <c:pt idx="27">
                  <c:v>2.12</c:v>
                </c:pt>
                <c:pt idx="28">
                  <c:v>1.97897660174094</c:v>
                </c:pt>
                <c:pt idx="29">
                  <c:v>1.93240948950441</c:v>
                </c:pt>
                <c:pt idx="30">
                  <c:v>1.88027205227318</c:v>
                </c:pt>
                <c:pt idx="31">
                  <c:v>1.80793356320385</c:v>
                </c:pt>
                <c:pt idx="32">
                  <c:v>1.78740485490027</c:v>
                </c:pt>
              </c:numCache>
            </c:numRef>
          </c:val>
          <c:smooth val="0"/>
        </c:ser>
        <c:dLbls>
          <c:showLegendKey val="0"/>
          <c:showVal val="0"/>
          <c:showCatName val="0"/>
          <c:showSerName val="0"/>
          <c:showPercent val="0"/>
          <c:showBubbleSize val="0"/>
        </c:dLbls>
        <c:marker val="0"/>
        <c:smooth val="0"/>
        <c:axId val="359106232"/>
        <c:axId val="333865571"/>
      </c:lineChart>
      <c:catAx>
        <c:axId val="359106232"/>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33865571"/>
        <c:crosses val="autoZero"/>
        <c:auto val="1"/>
        <c:lblAlgn val="ctr"/>
        <c:lblOffset val="100"/>
        <c:tickLblSkip val="3"/>
        <c:tickMarkSkip val="3"/>
        <c:noMultiLvlLbl val="0"/>
      </c:catAx>
      <c:valAx>
        <c:axId val="333865571"/>
        <c:scaling>
          <c:orientation val="minMax"/>
          <c:min val="1"/>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591062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'[区域银行理财产品指数（202409）.xlsx]固收类产品指数'!$M$2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'[区域银行理财产品指数（202409）.xlsx]固收类产品指数'!$A$3:$A$36</c:f>
              <c:numCache>
                <c:formatCode>yyyy"年"m"月";@</c:formatCode>
                <c:ptCount val="34"/>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numCache>
            </c:numRef>
          </c:cat>
          <c:val>
            <c:numRef>
              <c:f>'[区域银行理财产品指数（202409）.xlsx]固收类产品指数'!$M$3:$M$36</c:f>
              <c:numCache>
                <c:formatCode>0.00_);[Red]\(0.00\)</c:formatCode>
                <c:ptCount val="34"/>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formatCode="0.00_ ">
                  <c:v>106.635954488359</c:v>
                </c:pt>
                <c:pt idx="31" c:formatCode="0.00_ ">
                  <c:v>106.880291659995</c:v>
                </c:pt>
                <c:pt idx="32" c:formatCode="0.00_ ">
                  <c:v>107.01084461275</c:v>
                </c:pt>
                <c:pt idx="33" c:formatCode="0.00_ ">
                  <c:v>107.202678821948</c:v>
                </c:pt>
              </c:numCache>
            </c:numRef>
          </c:val>
          <c:smooth val="0"/>
        </c:ser>
        <c:ser>
          <c:idx val="1"/>
          <c:order val="1"/>
          <c:tx>
            <c:strRef>
              <c:f>'[区域银行理财产品指数（202409）.xlsx]固收类产品指数'!$N$2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'[区域银行理财产品指数（202409）.xlsx]固收类产品指数'!$A$3:$A$36</c:f>
              <c:numCache>
                <c:formatCode>yyyy"年"m"月";@</c:formatCode>
                <c:ptCount val="34"/>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numCache>
            </c:numRef>
          </c:cat>
          <c:val>
            <c:numRef>
              <c:f>'[区域银行理财产品指数（202409）.xlsx]固收类产品指数'!$N$3:$N$36</c:f>
              <c:numCache>
                <c:formatCode>0.00_);[Red]\(0.00\)</c:formatCode>
                <c:ptCount val="34"/>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formatCode="0.00_ ">
                  <c:v>107.227681230757</c:v>
                </c:pt>
                <c:pt idx="31" c:formatCode="0.00_ ">
                  <c:v>107.514015890287</c:v>
                </c:pt>
                <c:pt idx="32" c:formatCode="0.00_ ">
                  <c:v>107.596800980841</c:v>
                </c:pt>
                <c:pt idx="33" c:formatCode="0.00_ ">
                  <c:v>107.812722873053</c:v>
                </c:pt>
              </c:numCache>
            </c:numRef>
          </c:val>
          <c:smooth val="0"/>
        </c:ser>
        <c:ser>
          <c:idx val="2"/>
          <c:order val="2"/>
          <c:tx>
            <c:strRef>
              <c:f>'[区域银行理财产品指数（202409）.xlsx]固收类产品指数'!$O$2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'[区域银行理财产品指数（202409）.xlsx]固收类产品指数'!$A$3:$A$36</c:f>
              <c:numCache>
                <c:formatCode>yyyy"年"m"月";@</c:formatCode>
                <c:ptCount val="34"/>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numCache>
            </c:numRef>
          </c:cat>
          <c:val>
            <c:numRef>
              <c:f>'[区域银行理财产品指数（202409）.xlsx]固收类产品指数'!$O$3:$O$36</c:f>
              <c:numCache>
                <c:formatCode>0.00_);[Red]\(0.00\)</c:formatCode>
                <c:ptCount val="34"/>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formatCode="0.00_ ">
                  <c:v>107.311919895746</c:v>
                </c:pt>
                <c:pt idx="31" c:formatCode="0.00_ ">
                  <c:v>107.585554950608</c:v>
                </c:pt>
                <c:pt idx="32" c:formatCode="0.00_ ">
                  <c:v>107.65635702653</c:v>
                </c:pt>
                <c:pt idx="33" c:formatCode="0.00_ ">
                  <c:v>107.914956160281</c:v>
                </c:pt>
              </c:numCache>
            </c:numRef>
          </c:val>
          <c:smooth val="0"/>
        </c:ser>
        <c:ser>
          <c:idx val="3"/>
          <c:order val="3"/>
          <c:tx>
            <c:strRef>
              <c:f>'[区域银行理财产品指数（202409）.xlsx]固收类产品指数'!$P$2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'[区域银行理财产品指数（202409）.xlsx]固收类产品指数'!$A$3:$A$36</c:f>
              <c:numCache>
                <c:formatCode>yyyy"年"m"月";@</c:formatCode>
                <c:ptCount val="34"/>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numCache>
            </c:numRef>
          </c:cat>
          <c:val>
            <c:numRef>
              <c:f>'[区域银行理财产品指数（202409）.xlsx]固收类产品指数'!$P$3:$P$36</c:f>
              <c:numCache>
                <c:formatCode>0.00_);[Red]\(0.00\)</c:formatCode>
                <c:ptCount val="34"/>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formatCode="0.00_ ">
                  <c:v>106.938336366856</c:v>
                </c:pt>
                <c:pt idx="31" c:formatCode="0.00_ ">
                  <c:v>107.197966776699</c:v>
                </c:pt>
                <c:pt idx="32" c:formatCode="0.00_ ">
                  <c:v>107.304343372339</c:v>
                </c:pt>
                <c:pt idx="33" c:formatCode="0.00_ ">
                  <c:v>107.518278547139</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'[区域银行理财产品指数（202409）.xlsx]全国固收指数收益'!$O$2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'[区域银行理财产品指数（202409）.xlsx]全国固收指数收益'!$H$28:$H$33</c:f>
              <c:strCache>
                <c:ptCount val="6"/>
                <c:pt idx="0" c:formatCode="@">
                  <c:v>2024-04</c:v>
                </c:pt>
                <c:pt idx="1" c:formatCode="@">
                  <c:v>2024-05</c:v>
                </c:pt>
                <c:pt idx="2" c:formatCode="@">
                  <c:v>2024-06</c:v>
                </c:pt>
                <c:pt idx="3" c:formatCode="@">
                  <c:v>2024-07</c:v>
                </c:pt>
                <c:pt idx="4" c:formatCode="@">
                  <c:v>2024-08</c:v>
                </c:pt>
                <c:pt idx="5" c:formatCode="@">
                  <c:v>2024-09</c:v>
                </c:pt>
              </c:strCache>
            </c:strRef>
          </c:cat>
          <c:val>
            <c:numRef>
              <c:f>'[区域银行理财产品指数（202409）.xlsx]全国固收指数收益'!$O$28:$O$33</c:f>
              <c:numCache>
                <c:formatCode>0.00%</c:formatCode>
                <c:ptCount val="6"/>
                <c:pt idx="0">
                  <c:v>0.00820726893021497</c:v>
                </c:pt>
                <c:pt idx="1">
                  <c:v>0.0075966101737599</c:v>
                </c:pt>
                <c:pt idx="2">
                  <c:v>0.00777852746367226</c:v>
                </c:pt>
                <c:pt idx="3">
                  <c:v>0.00740611260960936</c:v>
                </c:pt>
                <c:pt idx="4">
                  <c:v>0.0057267783602064</c:v>
                </c:pt>
                <c:pt idx="5">
                  <c:v>0.00542314571169031</c:v>
                </c:pt>
              </c:numCache>
            </c:numRef>
          </c:val>
        </c:ser>
        <c:ser>
          <c:idx val="1"/>
          <c:order val="1"/>
          <c:tx>
            <c:strRef>
              <c:f>'[区域银行理财产品指数（202409）.xlsx]全国固收指数收益'!$P$2</c:f>
              <c:strCache>
                <c:ptCount val="1"/>
                <c:pt idx="0">
                  <c:v>过去六个月投资收益</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'[区域银行理财产品指数（202409）.xlsx]全国固收指数收益'!$H$28:$H$33</c:f>
              <c:strCache>
                <c:ptCount val="6"/>
                <c:pt idx="0" c:formatCode="@">
                  <c:v>2024-04</c:v>
                </c:pt>
                <c:pt idx="1" c:formatCode="@">
                  <c:v>2024-05</c:v>
                </c:pt>
                <c:pt idx="2" c:formatCode="@">
                  <c:v>2024-06</c:v>
                </c:pt>
                <c:pt idx="3" c:formatCode="@">
                  <c:v>2024-07</c:v>
                </c:pt>
                <c:pt idx="4" c:formatCode="@">
                  <c:v>2024-08</c:v>
                </c:pt>
                <c:pt idx="5" c:formatCode="@">
                  <c:v>2024-09</c:v>
                </c:pt>
              </c:strCache>
            </c:strRef>
          </c:cat>
          <c:val>
            <c:numRef>
              <c:f>'[区域银行理财产品指数（202409）.xlsx]全国固收指数收益'!$P$28:$P$33</c:f>
              <c:numCache>
                <c:formatCode>0.00%</c:formatCode>
                <c:ptCount val="6"/>
                <c:pt idx="0">
                  <c:v>0.0166795895845654</c:v>
                </c:pt>
                <c:pt idx="1">
                  <c:v>0.0166389802290986</c:v>
                </c:pt>
                <c:pt idx="2">
                  <c:v>0.0158227511535252</c:v>
                </c:pt>
                <c:pt idx="3">
                  <c:v>0.0156741654977435</c:v>
                </c:pt>
                <c:pt idx="4">
                  <c:v>0.0133668926367203</c:v>
                </c:pt>
                <c:pt idx="5">
                  <c:v>0.0132438572632205</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'[区域银行理财产品指数（202409）.xlsx]全国固收指数收益'!$I$2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'[区域银行理财产品指数（202409）.xlsx]全国固收指数收益'!$H$28:$H$33</c:f>
              <c:strCache>
                <c:ptCount val="6"/>
                <c:pt idx="0" c:formatCode="@">
                  <c:v>2024-04</c:v>
                </c:pt>
                <c:pt idx="1" c:formatCode="@">
                  <c:v>2024-05</c:v>
                </c:pt>
                <c:pt idx="2" c:formatCode="@">
                  <c:v>2024-06</c:v>
                </c:pt>
                <c:pt idx="3" c:formatCode="@">
                  <c:v>2024-07</c:v>
                </c:pt>
                <c:pt idx="4" c:formatCode="@">
                  <c:v>2024-08</c:v>
                </c:pt>
                <c:pt idx="5" c:formatCode="@">
                  <c:v>2024-09</c:v>
                </c:pt>
              </c:strCache>
            </c:strRef>
          </c:cat>
          <c:val>
            <c:numRef>
              <c:f>'[区域银行理财产品指数（202409）.xlsx]全国固收指数收益'!$I$28:$I$33</c:f>
              <c:numCache>
                <c:formatCode>0.00%</c:formatCode>
                <c:ptCount val="6"/>
                <c:pt idx="0">
                  <c:v>0.00679633688286679</c:v>
                </c:pt>
                <c:pt idx="1">
                  <c:v>0.00652735564801272</c:v>
                </c:pt>
                <c:pt idx="2">
                  <c:v>0.00678551618715192</c:v>
                </c:pt>
                <c:pt idx="3">
                  <c:v>0.00678188596015904</c:v>
                </c:pt>
                <c:pt idx="4">
                  <c:v>0.00567579264220157</c:v>
                </c:pt>
                <c:pt idx="5">
                  <c:v>0.00531457083408664</c:v>
                </c:pt>
              </c:numCache>
            </c:numRef>
          </c:val>
        </c:ser>
        <c:ser>
          <c:idx val="1"/>
          <c:order val="1"/>
          <c:tx>
            <c:strRef>
              <c:f>'[区域银行理财产品指数（202409）.xlsx]全国固收指数收益'!$J$2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'[区域银行理财产品指数（202409）.xlsx]全国固收指数收益'!$H$28:$H$33</c:f>
              <c:strCache>
                <c:ptCount val="6"/>
                <c:pt idx="0" c:formatCode="@">
                  <c:v>2024-04</c:v>
                </c:pt>
                <c:pt idx="1" c:formatCode="@">
                  <c:v>2024-05</c:v>
                </c:pt>
                <c:pt idx="2" c:formatCode="@">
                  <c:v>2024-06</c:v>
                </c:pt>
                <c:pt idx="3" c:formatCode="@">
                  <c:v>2024-07</c:v>
                </c:pt>
                <c:pt idx="4" c:formatCode="@">
                  <c:v>2024-08</c:v>
                </c:pt>
                <c:pt idx="5" c:formatCode="@">
                  <c:v>2024-09</c:v>
                </c:pt>
              </c:strCache>
            </c:strRef>
          </c:cat>
          <c:val>
            <c:numRef>
              <c:f>'[区域银行理财产品指数（202409）.xlsx]全国固收指数收益'!$J$28:$J$33</c:f>
              <c:numCache>
                <c:formatCode>0.00%</c:formatCode>
                <c:ptCount val="6"/>
                <c:pt idx="0">
                  <c:v>0.0141898451115794</c:v>
                </c:pt>
                <c:pt idx="1">
                  <c:v>0.0143261528077569</c:v>
                </c:pt>
                <c:pt idx="2">
                  <c:v>0.0138000278884099</c:v>
                </c:pt>
                <c:pt idx="3">
                  <c:v>0.0136243148247079</c:v>
                </c:pt>
                <c:pt idx="4">
                  <c:v>0.0122401962073743</c:v>
                </c:pt>
                <c:pt idx="5">
                  <c:v>0.012136149127661</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'[区域银行理财产品指数（202409）.xlsx]全国固收指数收益'!$K$2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'[区域银行理财产品指数（202409）.xlsx]全国固收指数收益'!$H$28:$H$33</c:f>
              <c:strCache>
                <c:ptCount val="6"/>
                <c:pt idx="0" c:formatCode="@">
                  <c:v>2024-04</c:v>
                </c:pt>
                <c:pt idx="1" c:formatCode="@">
                  <c:v>2024-05</c:v>
                </c:pt>
                <c:pt idx="2" c:formatCode="@">
                  <c:v>2024-06</c:v>
                </c:pt>
                <c:pt idx="3" c:formatCode="@">
                  <c:v>2024-07</c:v>
                </c:pt>
                <c:pt idx="4" c:formatCode="@">
                  <c:v>2024-08</c:v>
                </c:pt>
                <c:pt idx="5" c:formatCode="@">
                  <c:v>2024-09</c:v>
                </c:pt>
              </c:strCache>
            </c:strRef>
          </c:cat>
          <c:val>
            <c:numRef>
              <c:f>'[区域银行理财产品指数（202409）.xlsx]全国固收指数收益'!$K$28:$K$33</c:f>
              <c:numCache>
                <c:formatCode>0.00%</c:formatCode>
                <c:ptCount val="6"/>
                <c:pt idx="0">
                  <c:v>0.00838992602037604</c:v>
                </c:pt>
                <c:pt idx="1">
                  <c:v>0.00777673646425675</c:v>
                </c:pt>
                <c:pt idx="2">
                  <c:v>0.00810345018695012</c:v>
                </c:pt>
                <c:pt idx="3">
                  <c:v>0.00793187020711537</c:v>
                </c:pt>
                <c:pt idx="4">
                  <c:v>0.00588391088885566</c:v>
                </c:pt>
                <c:pt idx="5">
                  <c:v>0.00545606913793964</c:v>
                </c:pt>
              </c:numCache>
            </c:numRef>
          </c:val>
        </c:ser>
        <c:ser>
          <c:idx val="1"/>
          <c:order val="1"/>
          <c:tx>
            <c:strRef>
              <c:f>'[区域银行理财产品指数（202409）.xlsx]全国固收指数收益'!$L$2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'[区域银行理财产品指数（202409）.xlsx]全国固收指数收益'!$H$28:$H$33</c:f>
              <c:strCache>
                <c:ptCount val="6"/>
                <c:pt idx="0" c:formatCode="@">
                  <c:v>2024-04</c:v>
                </c:pt>
                <c:pt idx="1" c:formatCode="@">
                  <c:v>2024-05</c:v>
                </c:pt>
                <c:pt idx="2" c:formatCode="@">
                  <c:v>2024-06</c:v>
                </c:pt>
                <c:pt idx="3" c:formatCode="@">
                  <c:v>2024-07</c:v>
                </c:pt>
                <c:pt idx="4" c:formatCode="@">
                  <c:v>2024-08</c:v>
                </c:pt>
                <c:pt idx="5" c:formatCode="@">
                  <c:v>2024-09</c:v>
                </c:pt>
              </c:strCache>
            </c:strRef>
          </c:cat>
          <c:val>
            <c:numRef>
              <c:f>'[区域银行理财产品指数（202409）.xlsx]全国固收指数收益'!$L$28:$L$33</c:f>
              <c:numCache>
                <c:formatCode>0.00%</c:formatCode>
                <c:ptCount val="6"/>
                <c:pt idx="0">
                  <c:v>0.0177542656165263</c:v>
                </c:pt>
                <c:pt idx="1">
                  <c:v>0.0176378720008879</c:v>
                </c:pt>
                <c:pt idx="2">
                  <c:v>0.016642392414655</c:v>
                </c:pt>
                <c:pt idx="3">
                  <c:v>0.0163883440317277</c:v>
                </c:pt>
                <c:pt idx="4">
                  <c:v>0.0137064049774742</c:v>
                </c:pt>
                <c:pt idx="5">
                  <c:v>0.0136037323093656</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'[区域银行理财产品指数（202409）.xlsx]全国固收指数收益'!$M$2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'[区域银行理财产品指数（202409）.xlsx]全国固收指数收益'!$H$28:$H$33</c:f>
              <c:strCache>
                <c:ptCount val="6"/>
                <c:pt idx="0" c:formatCode="@">
                  <c:v>2024-04</c:v>
                </c:pt>
                <c:pt idx="1" c:formatCode="@">
                  <c:v>2024-05</c:v>
                </c:pt>
                <c:pt idx="2" c:formatCode="@">
                  <c:v>2024-06</c:v>
                </c:pt>
                <c:pt idx="3" c:formatCode="@">
                  <c:v>2024-07</c:v>
                </c:pt>
                <c:pt idx="4" c:formatCode="@">
                  <c:v>2024-08</c:v>
                </c:pt>
                <c:pt idx="5" c:formatCode="@">
                  <c:v>2024-09</c:v>
                </c:pt>
              </c:strCache>
            </c:strRef>
          </c:cat>
          <c:val>
            <c:numRef>
              <c:f>'[区域银行理财产品指数（202409）.xlsx]全国固收指数收益'!$M$28:$M$33</c:f>
              <c:numCache>
                <c:formatCode>0.00%</c:formatCode>
                <c:ptCount val="6"/>
                <c:pt idx="0">
                  <c:v>0.0105832814303376</c:v>
                </c:pt>
                <c:pt idx="1">
                  <c:v>0.00946572727217155</c:v>
                </c:pt>
                <c:pt idx="2">
                  <c:v>0.00946615927236919</c:v>
                </c:pt>
                <c:pt idx="3">
                  <c:v>0.00829485063616373</c:v>
                </c:pt>
                <c:pt idx="4">
                  <c:v>0.00569849057423986</c:v>
                </c:pt>
                <c:pt idx="5">
                  <c:v>0.0056194713981549</c:v>
                </c:pt>
              </c:numCache>
            </c:numRef>
          </c:val>
        </c:ser>
        <c:ser>
          <c:idx val="1"/>
          <c:order val="1"/>
          <c:tx>
            <c:strRef>
              <c:f>'[区域银行理财产品指数（202409）.xlsx]全国固收指数收益'!$N$2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'[区域银行理财产品指数（202409）.xlsx]全国固收指数收益'!$H$28:$H$33</c:f>
              <c:strCache>
                <c:ptCount val="6"/>
                <c:pt idx="0" c:formatCode="@">
                  <c:v>2024-04</c:v>
                </c:pt>
                <c:pt idx="1" c:formatCode="@">
                  <c:v>2024-05</c:v>
                </c:pt>
                <c:pt idx="2" c:formatCode="@">
                  <c:v>2024-06</c:v>
                </c:pt>
                <c:pt idx="3" c:formatCode="@">
                  <c:v>2024-07</c:v>
                </c:pt>
                <c:pt idx="4" c:formatCode="@">
                  <c:v>2024-08</c:v>
                </c:pt>
                <c:pt idx="5" c:formatCode="@">
                  <c:v>2024-09</c:v>
                </c:pt>
              </c:strCache>
            </c:strRef>
          </c:cat>
          <c:val>
            <c:numRef>
              <c:f>'[区域银行理财产品指数（202409）.xlsx]全国固收指数收益'!$N$28:$N$33</c:f>
              <c:numCache>
                <c:formatCode>0.00%</c:formatCode>
                <c:ptCount val="6"/>
                <c:pt idx="0">
                  <c:v>0.0202388684674671</c:v>
                </c:pt>
                <c:pt idx="1">
                  <c:v>0.0200910934760653</c:v>
                </c:pt>
                <c:pt idx="2">
                  <c:v>0.018975464334131</c:v>
                </c:pt>
                <c:pt idx="3">
                  <c:v>0.0189659188052044</c:v>
                </c:pt>
                <c:pt idx="4">
                  <c:v>0.0152181582040502</c:v>
                </c:pt>
                <c:pt idx="5">
                  <c:v>0.0151388254818055</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'[国债企业债收益率-截至2024年09月.xls]Sheet0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'[国债企业债收益率-截至2024年09月.xls]Sheet0 (2)'!$A$222:$A$915</c:f>
              <c:strCache>
                <c:ptCount val="69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strCache>
            </c:strRef>
          </c:cat>
          <c:val>
            <c:numRef>
              <c:f>'[国债企业债收益率-截至2024年09月.xls]Sheet0 (2)'!$B$222:$B$915</c:f>
              <c:numCache>
                <c:formatCode>#,##0.00_ </c:formatCode>
                <c:ptCount val="694"/>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numCache>
            </c:numRef>
          </c:val>
          <c:smooth val="0"/>
        </c:ser>
        <c:ser>
          <c:idx val="1"/>
          <c:order val="1"/>
          <c:tx>
            <c:strRef>
              <c:f>'[国债企业债收益率-截至2024年09月.xls]Sheet0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'[国债企业债收益率-截至2024年09月.xls]Sheet0 (2)'!$A$222:$A$915</c:f>
              <c:strCache>
                <c:ptCount val="69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strCache>
            </c:strRef>
          </c:cat>
          <c:val>
            <c:numRef>
              <c:f>'[国债企业债收益率-截至2024年09月.xls]Sheet0 (2)'!$C$222:$C$915</c:f>
              <c:numCache>
                <c:formatCode>#,##0.00_ </c:formatCode>
                <c:ptCount val="694"/>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numCache>
            </c:numRef>
          </c:val>
          <c:smooth val="0"/>
        </c:ser>
        <c:ser>
          <c:idx val="2"/>
          <c:order val="2"/>
          <c:tx>
            <c:strRef>
              <c:f>'[国债企业债收益率-截至2024年09月.xls]Sheet0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'[国债企业债收益率-截至2024年09月.xls]Sheet0 (2)'!$A$222:$A$915</c:f>
              <c:strCache>
                <c:ptCount val="69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strCache>
            </c:strRef>
          </c:cat>
          <c:val>
            <c:numRef>
              <c:f>'[国债企业债收益率-截至2024年09月.xls]Sheet0 (2)'!$D$222:$D$915</c:f>
              <c:numCache>
                <c:formatCode>#,##0.00_ </c:formatCode>
                <c:ptCount val="694"/>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3" c:formatCode="0.00_ ">
                  <c:v>2.1372</c:v>
                </c:pt>
              </c:numCache>
            </c:numRef>
          </c:val>
          <c:smooth val="0"/>
        </c:ser>
        <c:ser>
          <c:idx val="3"/>
          <c:order val="3"/>
          <c:tx>
            <c:strRef>
              <c:f>'[国债企业债收益率-截至2024年09月.xls]Sheet0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'[国债企业债收益率-截至2024年09月.xls]Sheet0 (2)'!$A$222:$A$915</c:f>
              <c:strCache>
                <c:ptCount val="69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strCache>
            </c:strRef>
          </c:cat>
          <c:val>
            <c:numRef>
              <c:f>'[国债企业债收益率-截至2024年09月.xls]Sheet0 (2)'!$E$222:$E$915</c:f>
              <c:numCache>
                <c:formatCode>#,##0.00_ </c:formatCode>
                <c:ptCount val="694"/>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3" c:formatCode="0.00_ ">
                  <c:v>2.1933</c:v>
                </c:pt>
              </c:numCache>
            </c:numRef>
          </c:val>
          <c:smooth val="0"/>
        </c:ser>
        <c:dLbls>
          <c:showLegendKey val="0"/>
          <c:showVal val="0"/>
          <c:showCatName val="0"/>
          <c:showSerName val="0"/>
          <c:showPercent val="0"/>
          <c:showBubbleSize val="0"/>
        </c:dLbls>
        <c:marker val="0"/>
        <c:smooth val="0"/>
        <c:axId val="244593335"/>
        <c:axId val="586471910"/>
      </c:lineChart>
      <c:dateAx>
        <c:axId val="244593335"/>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586471910"/>
        <c:crosses val="autoZero"/>
        <c:auto val="1"/>
        <c:lblAlgn val="ctr"/>
        <c:lblOffset val="100"/>
        <c:baseTimeUnit val="days"/>
      </c:dateAx>
      <c:valAx>
        <c:axId val="586471910"/>
        <c:scaling>
          <c:orientation val="minMax"/>
          <c:min val="1.3"/>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44593335"/>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'[国债企业债收益率-截至2024年09月.xls]Sheet0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'[国债企业债收益率-截至2024年09月.xls]Sheet0 (2)'!$G$222:$G$915</c:f>
              <c:strCache>
                <c:ptCount val="69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strCache>
            </c:strRef>
          </c:cat>
          <c:val>
            <c:numRef>
              <c:f>'[国债企业债收益率-截至2024年09月.xls]Sheet0 (2)'!$H$222:$H$915</c:f>
              <c:numCache>
                <c:formatCode>0.00_ </c:formatCode>
                <c:ptCount val="694"/>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numCache>
            </c:numRef>
          </c:val>
          <c:smooth val="0"/>
        </c:ser>
        <c:ser>
          <c:idx val="1"/>
          <c:order val="1"/>
          <c:tx>
            <c:strRef>
              <c:f>'[国债企业债收益率-截至2024年09月.xls]Sheet0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'[国债企业债收益率-截至2024年09月.xls]Sheet0 (2)'!$G$222:$G$915</c:f>
              <c:strCache>
                <c:ptCount val="69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strCache>
            </c:strRef>
          </c:cat>
          <c:val>
            <c:numRef>
              <c:f>'[国债企业债收益率-截至2024年09月.xls]Sheet0 (2)'!$I$222:$I$915</c:f>
              <c:numCache>
                <c:formatCode>0.00_ </c:formatCode>
                <c:ptCount val="694"/>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numCache>
            </c:numRef>
          </c:val>
          <c:smooth val="0"/>
        </c:ser>
        <c:ser>
          <c:idx val="2"/>
          <c:order val="2"/>
          <c:tx>
            <c:strRef>
              <c:f>'[国债企业债收益率-截至2024年09月.xls]Sheet0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'[国债企业债收益率-截至2024年09月.xls]Sheet0 (2)'!$G$222:$G$915</c:f>
              <c:strCache>
                <c:ptCount val="69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strCache>
            </c:strRef>
          </c:cat>
          <c:val>
            <c:numRef>
              <c:f>'[国债企业债收益率-截至2024年09月.xls]Sheet0 (2)'!$J$222:$J$915</c:f>
              <c:numCache>
                <c:formatCode>0.00_ </c:formatCode>
                <c:ptCount val="694"/>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4">
                  <c:v>2.0609</c:v>
                </c:pt>
                <c:pt idx="685">
                  <c:v>2.0684</c:v>
                </c:pt>
                <c:pt idx="686">
                  <c:v>2.072</c:v>
                </c:pt>
                <c:pt idx="687">
                  <c:v>2.0681</c:v>
                </c:pt>
                <c:pt idx="688">
                  <c:v>2.0569</c:v>
                </c:pt>
                <c:pt idx="689">
                  <c:v>2.0595</c:v>
                </c:pt>
                <c:pt idx="690">
                  <c:v>2.0498</c:v>
                </c:pt>
                <c:pt idx="691">
                  <c:v>2.0965</c:v>
                </c:pt>
                <c:pt idx="693">
                  <c:v>2.275</c:v>
                </c:pt>
              </c:numCache>
            </c:numRef>
          </c:val>
          <c:smooth val="0"/>
        </c:ser>
        <c:ser>
          <c:idx val="3"/>
          <c:order val="3"/>
          <c:tx>
            <c:strRef>
              <c:f>'[国债企业债收益率-截至2024年09月.xls]Sheet0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'[国债企业债收益率-截至2024年09月.xls]Sheet0 (2)'!$G$222:$G$915</c:f>
              <c:strCache>
                <c:ptCount val="69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strCache>
            </c:strRef>
          </c:cat>
          <c:val>
            <c:numRef>
              <c:f>'[国债企业债收益率-截至2024年09月.xls]Sheet0 (2)'!$K$222:$K$915</c:f>
              <c:numCache>
                <c:formatCode>0.00_ </c:formatCode>
                <c:ptCount val="694"/>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4">
                  <c:v>2.3331</c:v>
                </c:pt>
                <c:pt idx="685">
                  <c:v>2.3154</c:v>
                </c:pt>
                <c:pt idx="686">
                  <c:v>2.3272</c:v>
                </c:pt>
                <c:pt idx="687">
                  <c:v>2.3234</c:v>
                </c:pt>
                <c:pt idx="688">
                  <c:v>2.3288</c:v>
                </c:pt>
                <c:pt idx="689">
                  <c:v>2.3205</c:v>
                </c:pt>
                <c:pt idx="690">
                  <c:v>2.3323</c:v>
                </c:pt>
                <c:pt idx="691">
                  <c:v>2.3848</c:v>
                </c:pt>
                <c:pt idx="693">
                  <c:v>2.5689</c:v>
                </c:pt>
              </c:numCache>
            </c:numRef>
          </c:val>
          <c:smooth val="0"/>
        </c:ser>
        <c:dLbls>
          <c:showLegendKey val="0"/>
          <c:showVal val="0"/>
          <c:showCatName val="0"/>
          <c:showSerName val="0"/>
          <c:showPercent val="0"/>
          <c:showBubbleSize val="0"/>
        </c:dLbls>
        <c:marker val="0"/>
        <c:smooth val="0"/>
        <c:axId val="376383609"/>
        <c:axId val="857153093"/>
      </c:lineChart>
      <c:catAx>
        <c:axId val="37638360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57153093"/>
        <c:crosses val="autoZero"/>
        <c:auto val="1"/>
        <c:lblAlgn val="ctr"/>
        <c:lblOffset val="100"/>
        <c:tickLblSkip val="50"/>
        <c:noMultiLvlLbl val="0"/>
      </c:catAx>
      <c:valAx>
        <c:axId val="857153093"/>
        <c:scaling>
          <c:orientation val="minMax"/>
          <c:min val="1.3"/>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76383609"/>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'[区域银行理财产品指数（202409）.xlsx]现金管理类指数'!$H$2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'[区域银行理财产品指数（202409）.xlsx]现金管理类指数'!$A$3:$A$675</c:f>
              <c:numCache>
                <c:formatCode>yyyy/m/d</c:formatCode>
                <c:ptCount val="673"/>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numCache>
            </c:numRef>
          </c:cat>
          <c:val>
            <c:numRef>
              <c:f>'[区域银行理财产品指数（202409）.xlsx]现金管理类指数'!$H$3:$H$675</c:f>
              <c:numCache>
                <c:formatCode>General</c:formatCode>
                <c:ptCount val="673"/>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67.8341953744569</c:v>
                </c:pt>
                <c:pt idx="610" c:formatCode="0.00_ ">
                  <c:v>68.3008771700248</c:v>
                </c:pt>
                <c:pt idx="611" c:formatCode="0.00_ ">
                  <c:v>68.6810585832346</c:v>
                </c:pt>
                <c:pt idx="612" c:formatCode="0.00_ ">
                  <c:v>68.7017848989853</c:v>
                </c:pt>
                <c:pt idx="613" c:formatCode="0.00_ ">
                  <c:v>68.2403122020561</c:v>
                </c:pt>
                <c:pt idx="614" c:formatCode="0.00_ ">
                  <c:v>66.4633404999677</c:v>
                </c:pt>
                <c:pt idx="615" c:formatCode="0.00_ ">
                  <c:v>66.0442412582087</c:v>
                </c:pt>
                <c:pt idx="616" c:formatCode="0.00_ ">
                  <c:v>65.9576106036219</c:v>
                </c:pt>
                <c:pt idx="617" c:formatCode="0.00_ ">
                  <c:v>66.1031827712376</c:v>
                </c:pt>
                <c:pt idx="618" c:formatCode="0.00_ ">
                  <c:v>65.8793886342544</c:v>
                </c:pt>
                <c:pt idx="619" c:formatCode="0.00_ ">
                  <c:v>65.3617868722989</c:v>
                </c:pt>
                <c:pt idx="620" c:formatCode="0.00_ ">
                  <c:v>64.9834852880893</c:v>
                </c:pt>
                <c:pt idx="621" c:formatCode="0.00_ ">
                  <c:v>64.8721417100509</c:v>
                </c:pt>
                <c:pt idx="622" c:formatCode="0.00_ ">
                  <c:v>64.9041218732901</c:v>
                </c:pt>
                <c:pt idx="623" c:formatCode="0.00_ ">
                  <c:v>64.7811959641318</c:v>
                </c:pt>
                <c:pt idx="624" c:formatCode="0.00_ ">
                  <c:v>64.0931364916368</c:v>
                </c:pt>
                <c:pt idx="625" c:formatCode="0.00_ ">
                  <c:v>63.837450352565</c:v>
                </c:pt>
                <c:pt idx="626" c:formatCode="0.00_ ">
                  <c:v>63.6872895436934</c:v>
                </c:pt>
                <c:pt idx="627" c:formatCode="0.00_ ">
                  <c:v>63.4378453879847</c:v>
                </c:pt>
                <c:pt idx="628" c:formatCode="0.00_ ">
                  <c:v>63.2705953324492</c:v>
                </c:pt>
                <c:pt idx="629" c:formatCode="0.00_ ">
                  <c:v>63.0743674032995</c:v>
                </c:pt>
                <c:pt idx="630" c:formatCode="0.00_ ">
                  <c:v>63.0375649477107</c:v>
                </c:pt>
                <c:pt idx="631" c:formatCode="0.00_ ">
                  <c:v>63.3949190631701</c:v>
                </c:pt>
                <c:pt idx="632" c:formatCode="0.00_ ">
                  <c:v>63.7437104584854</c:v>
                </c:pt>
                <c:pt idx="633" c:formatCode="0.00_ ">
                  <c:v>63.7940479868252</c:v>
                </c:pt>
                <c:pt idx="634" c:formatCode="0.00_ ">
                  <c:v>63.4310392122434</c:v>
                </c:pt>
                <c:pt idx="635" c:formatCode="0.00_ ">
                  <c:v>63.0855270443993</c:v>
                </c:pt>
                <c:pt idx="636" c:formatCode="0.00_ ">
                  <c:v>63.0462198170273</c:v>
                </c:pt>
                <c:pt idx="637" c:formatCode="0.00_ ">
                  <c:v>62.8659106807122</c:v>
                </c:pt>
                <c:pt idx="638" c:formatCode="0.00_ ">
                  <c:v>62.8139353140852</c:v>
                </c:pt>
                <c:pt idx="639" c:formatCode="0.00_ ">
                  <c:v>62.2290147513958</c:v>
                </c:pt>
                <c:pt idx="640" c:formatCode="0.00_ ">
                  <c:v>62.1131918391008</c:v>
                </c:pt>
                <c:pt idx="641" c:formatCode="0.00_ ">
                  <c:v>62.0815001024239</c:v>
                </c:pt>
                <c:pt idx="642" c:formatCode="0.00_ ">
                  <c:v>62.1679819257011</c:v>
                </c:pt>
                <c:pt idx="643" c:formatCode="0.00_ ">
                  <c:v>61.8223967130574</c:v>
                </c:pt>
                <c:pt idx="644" c:formatCode="0.00_ ">
                  <c:v>61.5457209558905</c:v>
                </c:pt>
                <c:pt idx="645" c:formatCode="0.00_ ">
                  <c:v>61.7022708304737</c:v>
                </c:pt>
                <c:pt idx="646" c:formatCode="0.00_ ">
                  <c:v>61.2300357331762</c:v>
                </c:pt>
                <c:pt idx="647" c:formatCode="0.00_ ">
                  <c:v>61.1969925774556</c:v>
                </c:pt>
                <c:pt idx="648" c:formatCode="0.00_ ">
                  <c:v>61.6385383191489</c:v>
                </c:pt>
                <c:pt idx="649" c:formatCode="0.00_ ">
                  <c:v>61.3849005869007</c:v>
                </c:pt>
                <c:pt idx="650" c:formatCode="0.00_ ">
                  <c:v>61.3324664679064</c:v>
                </c:pt>
                <c:pt idx="651" c:formatCode="0.00_ ">
                  <c:v>61.3744750850132</c:v>
                </c:pt>
                <c:pt idx="652" c:formatCode="0.00_ ">
                  <c:v>61.6618082844672</c:v>
                </c:pt>
                <c:pt idx="653" c:formatCode="0.00_ ">
                  <c:v>61.6764149542531</c:v>
                </c:pt>
                <c:pt idx="654" c:formatCode="0.00_ ">
                  <c:v>61.5217598842859</c:v>
                </c:pt>
                <c:pt idx="655" c:formatCode="0.00_ ">
                  <c:v>61.4981286807701</c:v>
                </c:pt>
                <c:pt idx="656" c:formatCode="0.00_ ">
                  <c:v>61.504895086156</c:v>
                </c:pt>
                <c:pt idx="657" c:formatCode="0.00_ ">
                  <c:v>61.3755862814176</c:v>
                </c:pt>
                <c:pt idx="658" c:formatCode="0.00_ ">
                  <c:v>61.2326171434677</c:v>
                </c:pt>
                <c:pt idx="659" c:formatCode="0.00_ ">
                  <c:v>60.6556045490574</c:v>
                </c:pt>
                <c:pt idx="660" c:formatCode="0.00_ ">
                  <c:v>60.827961389009</c:v>
                </c:pt>
                <c:pt idx="661" c:formatCode="0.00_ ">
                  <c:v>60.8072225731899</c:v>
                </c:pt>
                <c:pt idx="662" c:formatCode="0.00_ ">
                  <c:v>61.1508166166669</c:v>
                </c:pt>
                <c:pt idx="663" c:formatCode="0.00_ ">
                  <c:v>61.098265271995</c:v>
                </c:pt>
                <c:pt idx="664" c:formatCode="0.00_ ">
                  <c:v>60.4426411061724</c:v>
                </c:pt>
                <c:pt idx="665" c:formatCode="0.00_ ">
                  <c:v>60.4108024260724</c:v>
                </c:pt>
                <c:pt idx="666" c:formatCode="0.00_ ">
                  <c:v>60.6099241021391</c:v>
                </c:pt>
                <c:pt idx="667" c:formatCode="0.00_ ">
                  <c:v>60.758584095427</c:v>
                </c:pt>
                <c:pt idx="668" c:formatCode="0.00_ ">
                  <c:v>60.9480635246973</c:v>
                </c:pt>
                <c:pt idx="669" c:formatCode="0.00_ ">
                  <c:v>61.0160189441864</c:v>
                </c:pt>
                <c:pt idx="670" c:formatCode="0.00_ ">
                  <c:v>61.1718733277422</c:v>
                </c:pt>
                <c:pt idx="671" c:formatCode="0.00_ ">
                  <c:v>61.3026782560219</c:v>
                </c:pt>
                <c:pt idx="672" c:formatCode="0.00_ ">
                  <c:v>62.9126235543093</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2"/>
          <c:order val="2"/>
          <c:tx>
            <c:strRef>
              <c:f>'[区域银行理财产品指数（202409）.xlsx]固收整体'!$I$2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'[区域银行理财产品指数（202409）.xlsx]固收整体'!$A$3:$A$36</c:f>
              <c:numCache>
                <c:formatCode>yyyy\-mm</c:formatCode>
                <c:ptCount val="34"/>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numCache>
            </c:numRef>
          </c:cat>
          <c:val>
            <c:numRef>
              <c:f>'[区域银行理财产品指数（202409）.xlsx]固收整体'!$I$3:$I$36</c:f>
              <c:numCache>
                <c:formatCode>General</c:formatCode>
                <c:ptCount val="34"/>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107.518278547139</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'[区域银行理财产品指数（202409）.xlsx]固收整体'!$G$2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'[区域银行理财产品指数（202409）.xlsx]固收整体'!$A$3:$A$36</c15:sqref>
                        </c15:formulaRef>
                      </c:ext>
                    </c:extLst>
                    <c:numCache>
                      <c:formatCode>yyyy\-mm</c:formatCode>
                      <c:ptCount val="34"/>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108.659871750677,108.849183428664}</c15:sqref>
                        </c15:formulaRef>
                      </c:ext>
                    </c:extLst>
                    <c:numCache>
                      <c:formatCode>General</c:formatCode>
                      <c:ptCount val="34"/>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108.553468818981</c:v>
                      </c:pt>
                      <c:pt idx="32" c:formatCode="0.00_ ">
                        <c:v>108.659871750677</c:v>
                      </c:pt>
                      <c:pt idx="33" c:formatCode="0.00_ ">
                        <c:v>108.849183428664</c:v>
                      </c:pt>
                    </c:numCache>
                  </c:numRef>
                </c:val>
                <c:smooth val="0"/>
              </c15:ser>
            </c15:filteredLineSeries>
            <c15:filteredLineSeries>
              <c15:ser>
                <c:idx val="1"/>
                <c:order val="1"/>
                <c:tx>
                  <c:strRef>
                    <c:extLst>
                      <c:ext uri="{02D57815-91ED-43cb-92C2-25804820EDAC}">
                        <c15:formulaRef>
                          <c15:sqref>'[区域银行理财产品指数（202409）.xlsx]固收整体'!$H$2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'[区域银行理财产品指数（202409）.xlsx]固收整体'!$A$3:$A$36</c15:sqref>
                        </c15:formulaRef>
                      </c:ext>
                    </c:extLst>
                    <c:numCache>
                      <c:formatCode>yyyy\-mm</c:formatCode>
                      <c:ptCount val="34"/>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108.49328515654}</c15:sqref>
                        </c15:formulaRef>
                      </c:ext>
                    </c:extLst>
                    <c:numCache>
                      <c:formatCode>General</c:formatCode>
                      <c:ptCount val="34"/>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108.49328515654</c:v>
                      </c:pt>
                    </c:numCache>
                  </c:numRef>
                </c:val>
                <c:smooth val="0"/>
              </c15:ser>
            </c15:filteredLineSeries>
          </c:ext>
        </c:extLst>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14</Pages>
  <Words>3920</Words>
  <Characters>4473</Characters>
  <Lines>13</Lines>
  <Paragraphs>3</Paragraphs>
  <TotalTime>23</TotalTime>
  <ScaleCrop>false</ScaleCrop>
  <LinksUpToDate>false</LinksUpToDate>
  <CharactersWithSpaces>4473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2024-10-19T13:26:01Z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7DBF179259514D43BD085DEB5F9D385C_13</vt:lpwstr>
  </property>
</Properties>
</file>