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12</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12</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收益略有上升</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1.26</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在月末略有抬升</w:t>
      </w:r>
    </w:p>
    <w:p w14:paraId="3E85963F">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截至2024年12月31日，全国现金管理类产品的平均近7日年化收益率为1.67%，较11月29日环比上升1BP，较基期下降114BP。本月</w:t>
      </w:r>
      <w:r>
        <w:rPr>
          <w:rFonts w:hint="eastAsia" w:ascii="楷体" w:hAnsi="楷体" w:eastAsia="楷体" w:cs="楷体"/>
          <w:b w:val="0"/>
          <w:bCs w:val="0"/>
          <w:sz w:val="24"/>
          <w:highlight w:val="none"/>
          <w:lang w:val="en-US" w:eastAsia="zh-CN"/>
        </w:rPr>
        <w:t>各类资金利率全月呈现震荡走势，临近月末整体有所上涨。</w:t>
      </w:r>
      <w:r>
        <w:rPr>
          <w:rFonts w:hint="eastAsia" w:ascii="楷体" w:hAnsi="楷体" w:eastAsia="楷体" w:cs="楷体"/>
          <w:sz w:val="24"/>
          <w:highlight w:val="none"/>
          <w:lang w:val="en-US" w:eastAsia="zh-CN"/>
        </w:rPr>
        <w:t>全国地区现金管理类产品平均近7日年化收益率整月表现较为平稳，在月末略有抬升。</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70500" cy="2654300"/>
                  <wp:effectExtent l="4445" t="4445" r="20955" b="8255"/>
                  <wp:docPr id="6"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36ED0B26">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kern w:val="2"/>
          <w:sz w:val="24"/>
          <w:szCs w:val="24"/>
          <w:highlight w:val="none"/>
          <w:lang w:val="en-US" w:eastAsia="zh-CN" w:bidi="ar"/>
        </w:rPr>
        <w:t>公开市场方面，</w:t>
      </w:r>
      <w:r>
        <w:rPr>
          <w:rFonts w:hint="eastAsia" w:ascii="楷体" w:hAnsi="楷体" w:eastAsia="楷体" w:cs="楷体"/>
          <w:color w:val="auto"/>
          <w:kern w:val="2"/>
          <w:sz w:val="24"/>
          <w:szCs w:val="24"/>
          <w:lang w:val="en-US" w:eastAsia="zh-CN" w:bidi="ar"/>
        </w:rPr>
        <w:t>央行净回笼8330亿元质押式逆回购，质押式回购余额降至6532亿元，创下2020年以来跨年时的新低，同时MLF缩量续作1.15万亿，即便考虑买断式逆回购和国债净买入规模分别上升至1.4万亿和3000亿，在降准落空的状态下，央行对其他存款性公司债权在24年6月、9月和11月额外上升的情况可能会再度出现。另一方面，尽管政府债净供给规模相对往年同期仍然偏高，但考虑12月为传统财政支出大月，同时置换债与特殊再融资债的支出也将带来政府存款的额外投放，预计政府存款或环比下降1.52万亿，高于往年同期水平。但即便如此，</w:t>
      </w:r>
      <w:r>
        <w:rPr>
          <w:rStyle w:val="10"/>
          <w:rFonts w:hint="eastAsia" w:ascii="楷体" w:hAnsi="楷体" w:eastAsia="楷体" w:cs="楷体"/>
          <w:b w:val="0"/>
          <w:color w:val="auto"/>
          <w:kern w:val="2"/>
          <w:sz w:val="24"/>
          <w:szCs w:val="24"/>
          <w:lang w:val="en-US" w:eastAsia="zh-CN" w:bidi="ar"/>
        </w:rPr>
        <w:t>24年12月超储率相对于往年同期可能仍然偏低，预计其环比上升0.4pct至约1.8%。</w:t>
      </w:r>
    </w:p>
    <w:p w14:paraId="208CF9AA">
      <w:pPr>
        <w:keepNext w:val="0"/>
        <w:keepLines w:val="0"/>
        <w:widowControl/>
        <w:numPr>
          <w:ilvl w:val="0"/>
          <w:numId w:val="0"/>
        </w:numPr>
        <w:suppressLineNumbers w:val="0"/>
        <w:pBdr>
          <w:top w:val="none" w:color="auto" w:sz="0" w:space="0"/>
          <w:left w:val="none" w:color="auto" w:sz="0" w:space="0"/>
          <w:right w:val="none" w:color="auto" w:sz="0" w:space="0"/>
        </w:pBdr>
        <w:spacing w:before="0" w:beforeAutospacing="0" w:after="0" w:afterAutospacing="0" w:line="360" w:lineRule="auto"/>
        <w:ind w:left="0" w:right="0" w:firstLine="480" w:firstLineChars="200"/>
        <w:jc w:val="left"/>
        <w:rPr>
          <w:rFonts w:hint="eastAsia" w:ascii="楷体" w:hAnsi="楷体" w:eastAsia="楷体" w:cs="楷体"/>
          <w:color w:val="auto"/>
          <w:sz w:val="24"/>
          <w:lang w:bidi="ar"/>
        </w:rPr>
      </w:pPr>
      <w:r>
        <w:rPr>
          <w:rStyle w:val="10"/>
          <w:rFonts w:hint="eastAsia" w:ascii="楷体" w:hAnsi="楷体" w:eastAsia="楷体" w:cs="楷体"/>
          <w:b w:val="0"/>
          <w:color w:val="auto"/>
          <w:sz w:val="24"/>
          <w:lang w:bidi="ar"/>
        </w:rPr>
        <w:t>在24年末的重要会议上货币政策基调在2010年以来首次调整为“适度宽松”，中央经济工作会议直接提到了降准降息，并将流动性的表述调整为“保持流动性充裕”。而上一次提到“流动性充裕”的表述发生在2009年，R007在相当长的一段时间内维持在1%左右，因此这样的表述或许意味着央行在2025年可能阶段性地从流动性结构性短缺的管理模式转向流动性充裕，在降息的同时通过降准等方式使准备金处于过剩状态，进而推动资金利率阶段性降至政策利率之下，传递了较强的宽松信号。但在微观层面，24年12月DR007的均值与OMO利率的利差进一步扩大，在跨年因素影响之前资金利率甚至都创下了24Q4以来的新高，税期资金也出现了明显的收紧。</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1.26</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12月债市</w:t>
      </w:r>
      <w:r>
        <w:rPr>
          <w:rFonts w:hint="eastAsia" w:ascii="楷体" w:hAnsi="楷体" w:eastAsia="楷体" w:cs="楷体"/>
          <w:b w:val="0"/>
          <w:bCs w:val="0"/>
          <w:sz w:val="24"/>
          <w:highlight w:val="none"/>
          <w:lang w:val="en-US" w:eastAsia="zh-CN"/>
        </w:rPr>
        <w:t>整体维持震荡走强态势</w:t>
      </w:r>
      <w:r>
        <w:rPr>
          <w:rFonts w:hint="eastAsia" w:ascii="楷体" w:hAnsi="楷体" w:eastAsia="楷体" w:cs="楷体"/>
          <w:color w:val="000000" w:themeColor="text1"/>
          <w:sz w:val="24"/>
          <w:lang w:val="en-US" w:eastAsia="zh-CN"/>
          <w14:textFill>
            <w14:solidFill>
              <w14:schemeClr w14:val="tx1"/>
            </w14:solidFill>
          </w14:textFill>
        </w:rPr>
        <w:t>，固收类产品收益上升</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过去三个月投资收益为0.76%，较上月上升16BP；过去六个月投资收益为1.26%，较上月上升9BP。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2727960"/>
                  <wp:effectExtent l="0" t="0" r="635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过去三个月投资收益为0.66%，较上月环比上升12BP；过去六个月投资收益达1.16%，较上月上升5BP。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过去三个月投资收益为0.83%，较上月上升22BP；过去六个月投资收益达1.31%，较上月上升11BP。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过去三个月投资收益为0.92%，较上月环比上升20BP；过去六个月投资收益达1.47%，较上月环比上升18BP。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61FDC5E4">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12月份，短期、中期国债和短、中期AAA企业债到期收益率均下降。具体来看，12月31日，6个月国债到期收益率为1.02%，较上月环比下降35.21BP；1年期国债到期收益率为1.11%，环比下降26.50%。6个月AAA企业债和1年期AAA企业债到期收益率分别为1.65%和1.71%，分别环比下降26.52BP、24.67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959985" cy="2835275"/>
                  <wp:effectExtent l="4445" t="4445" r="7620" b="17780"/>
                  <wp:docPr id="137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长期限债券市场方面，12月份，2年期、10年期国债和2年期、10年期AAA企业债到期收益率均下降。具体来看，12月31日，2年期和10年期国债和2年期、10年期AAA企业债到期收益率为1.16%、1.67%、1.74%和2.13%，较11月</w:t>
      </w:r>
      <w:bookmarkStart w:id="1" w:name="_GoBack"/>
      <w:bookmarkEnd w:id="1"/>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底分别环比下降22.18BP、34.72BP、27.49和21.53BP。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203190" cy="3090545"/>
                  <wp:effectExtent l="4445" t="4445" r="12065" b="10160"/>
                  <wp:docPr id="137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有所上升</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2024年12月，全国银行理财市场现金管理类产品收益指数整体延续下行趋势，截至2024年12月31日，全国银行理财市场现金管理类产品收益指数为59.29，较上月环比上升0.35点，较基期下降40.71点。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2130"/>
                  <wp:effectExtent l="4445" t="4445" r="21590" b="952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涨势较为强劲</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12</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 xml:space="preserve">108.29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 xml:space="preserve">上升0.34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涨幅0.32%</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8.29</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8.29%</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0.32%</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0.76%</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1.26%</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2011045</wp:posOffset>
                  </wp:positionH>
                  <wp:positionV relativeFrom="paragraph">
                    <wp:posOffset>97155</wp:posOffset>
                  </wp:positionV>
                  <wp:extent cx="1390650" cy="533400"/>
                  <wp:effectExtent l="0" t="0" r="0" b="0"/>
                  <wp:wrapNone/>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3"/>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5205730" cy="3004820"/>
                  <wp:effectExtent l="4445" t="4445" r="9525" b="19685"/>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分期限来看，12</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 xml:space="preserve">107.87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涨幅0.26%</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7.87</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7.87%；中期固收类产品收益指数为108.63 点，环比上升0.38 点，环比涨幅0.35%，指数较基期上升8.63点，增长8.63%；长期固收类产品收益指数为108.89 点，环比上升0.46 点，环比涨幅0.43%，指数较基期上升8.89点，增长8.89%。</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0.26%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1.16%</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0.35%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0.83%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1.31%</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0.43%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0.92%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1.47%</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2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6921F6"/>
    <w:rsid w:val="05761C29"/>
    <w:rsid w:val="0600190E"/>
    <w:rsid w:val="062475CD"/>
    <w:rsid w:val="062A3A78"/>
    <w:rsid w:val="063442C2"/>
    <w:rsid w:val="06510766"/>
    <w:rsid w:val="06733F4B"/>
    <w:rsid w:val="06AA75E4"/>
    <w:rsid w:val="06AA76A8"/>
    <w:rsid w:val="06C56765"/>
    <w:rsid w:val="06DA5F06"/>
    <w:rsid w:val="06E124E4"/>
    <w:rsid w:val="0708721D"/>
    <w:rsid w:val="079C2696"/>
    <w:rsid w:val="07A77994"/>
    <w:rsid w:val="07BB67DE"/>
    <w:rsid w:val="08497AA2"/>
    <w:rsid w:val="08B60D54"/>
    <w:rsid w:val="08DC39E0"/>
    <w:rsid w:val="08DC6494"/>
    <w:rsid w:val="08EE6E9A"/>
    <w:rsid w:val="08FC6215"/>
    <w:rsid w:val="09150170"/>
    <w:rsid w:val="09843C8B"/>
    <w:rsid w:val="098D41AA"/>
    <w:rsid w:val="09B94653"/>
    <w:rsid w:val="0A22765F"/>
    <w:rsid w:val="0A31663D"/>
    <w:rsid w:val="0A3B0017"/>
    <w:rsid w:val="0A611635"/>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7A0AA7"/>
    <w:rsid w:val="0F8356F6"/>
    <w:rsid w:val="0FC226D4"/>
    <w:rsid w:val="0FD86B39"/>
    <w:rsid w:val="0FEE78F2"/>
    <w:rsid w:val="10B94DCF"/>
    <w:rsid w:val="10CA514A"/>
    <w:rsid w:val="10E50428"/>
    <w:rsid w:val="11266B4B"/>
    <w:rsid w:val="124F3540"/>
    <w:rsid w:val="129B3B91"/>
    <w:rsid w:val="130A3724"/>
    <w:rsid w:val="13132ED5"/>
    <w:rsid w:val="13C124B3"/>
    <w:rsid w:val="13C32DA1"/>
    <w:rsid w:val="142F0E9B"/>
    <w:rsid w:val="14342E34"/>
    <w:rsid w:val="1480391E"/>
    <w:rsid w:val="14C70887"/>
    <w:rsid w:val="14EB1F91"/>
    <w:rsid w:val="14F92001"/>
    <w:rsid w:val="153222F7"/>
    <w:rsid w:val="1570073A"/>
    <w:rsid w:val="160F2852"/>
    <w:rsid w:val="1687464A"/>
    <w:rsid w:val="16BD48EF"/>
    <w:rsid w:val="16FE1B4A"/>
    <w:rsid w:val="170553D9"/>
    <w:rsid w:val="17377504"/>
    <w:rsid w:val="178A26E7"/>
    <w:rsid w:val="17AA5239"/>
    <w:rsid w:val="17AD010A"/>
    <w:rsid w:val="17E5123B"/>
    <w:rsid w:val="17F2366E"/>
    <w:rsid w:val="18110147"/>
    <w:rsid w:val="1835785D"/>
    <w:rsid w:val="183B6476"/>
    <w:rsid w:val="183C0109"/>
    <w:rsid w:val="188B5D59"/>
    <w:rsid w:val="18952734"/>
    <w:rsid w:val="189964EA"/>
    <w:rsid w:val="18B52DD6"/>
    <w:rsid w:val="18F90150"/>
    <w:rsid w:val="1916056B"/>
    <w:rsid w:val="198354F2"/>
    <w:rsid w:val="19E37072"/>
    <w:rsid w:val="19FB0CBC"/>
    <w:rsid w:val="19FE5CD3"/>
    <w:rsid w:val="1ABA058B"/>
    <w:rsid w:val="1AC67C71"/>
    <w:rsid w:val="1AF52BBE"/>
    <w:rsid w:val="1B1F1786"/>
    <w:rsid w:val="1B3664EA"/>
    <w:rsid w:val="1B4A42F7"/>
    <w:rsid w:val="1BD83EBC"/>
    <w:rsid w:val="1C2002E2"/>
    <w:rsid w:val="1C2F49B6"/>
    <w:rsid w:val="1CA034BD"/>
    <w:rsid w:val="1CE65B87"/>
    <w:rsid w:val="1CFC7225"/>
    <w:rsid w:val="1D137896"/>
    <w:rsid w:val="1D4D37B5"/>
    <w:rsid w:val="1D5C5C9E"/>
    <w:rsid w:val="1DC60161"/>
    <w:rsid w:val="1DEC0A26"/>
    <w:rsid w:val="1E1D1F55"/>
    <w:rsid w:val="1E4532CA"/>
    <w:rsid w:val="1E4C7DC2"/>
    <w:rsid w:val="1E6F44CA"/>
    <w:rsid w:val="1E7A1067"/>
    <w:rsid w:val="1ED9141C"/>
    <w:rsid w:val="1EEE7875"/>
    <w:rsid w:val="1F094F0C"/>
    <w:rsid w:val="1F415B52"/>
    <w:rsid w:val="1F664E2A"/>
    <w:rsid w:val="1F775289"/>
    <w:rsid w:val="1F98623E"/>
    <w:rsid w:val="20124FB2"/>
    <w:rsid w:val="201721F5"/>
    <w:rsid w:val="206A094A"/>
    <w:rsid w:val="206D5E77"/>
    <w:rsid w:val="206F58BB"/>
    <w:rsid w:val="20AA214D"/>
    <w:rsid w:val="2105039F"/>
    <w:rsid w:val="21617F9F"/>
    <w:rsid w:val="21EC5EE5"/>
    <w:rsid w:val="21FB590E"/>
    <w:rsid w:val="21FF5648"/>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978ED"/>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BF0EFF"/>
    <w:rsid w:val="2AE94250"/>
    <w:rsid w:val="2AF21991"/>
    <w:rsid w:val="2B227E36"/>
    <w:rsid w:val="2B4A2C69"/>
    <w:rsid w:val="2BBE23F4"/>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B84331"/>
    <w:rsid w:val="30F50609"/>
    <w:rsid w:val="31215055"/>
    <w:rsid w:val="31374372"/>
    <w:rsid w:val="313802AE"/>
    <w:rsid w:val="31710D9C"/>
    <w:rsid w:val="31755D3D"/>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12740"/>
    <w:rsid w:val="33C601DE"/>
    <w:rsid w:val="340139AD"/>
    <w:rsid w:val="34140EA1"/>
    <w:rsid w:val="343E7C43"/>
    <w:rsid w:val="3474249F"/>
    <w:rsid w:val="34B54E13"/>
    <w:rsid w:val="34D5292D"/>
    <w:rsid w:val="352C1FEF"/>
    <w:rsid w:val="35462FD0"/>
    <w:rsid w:val="35590699"/>
    <w:rsid w:val="3564585C"/>
    <w:rsid w:val="35E82D0F"/>
    <w:rsid w:val="363E0065"/>
    <w:rsid w:val="366A57EF"/>
    <w:rsid w:val="367C3A34"/>
    <w:rsid w:val="36C56482"/>
    <w:rsid w:val="37136C8A"/>
    <w:rsid w:val="3724042E"/>
    <w:rsid w:val="373E370A"/>
    <w:rsid w:val="376B0D44"/>
    <w:rsid w:val="377655FB"/>
    <w:rsid w:val="3819071C"/>
    <w:rsid w:val="38415FDC"/>
    <w:rsid w:val="38746B20"/>
    <w:rsid w:val="38C8225A"/>
    <w:rsid w:val="38D20CF3"/>
    <w:rsid w:val="38E33FD5"/>
    <w:rsid w:val="38ED43C7"/>
    <w:rsid w:val="39636982"/>
    <w:rsid w:val="39795DE8"/>
    <w:rsid w:val="39914FE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D71CC"/>
    <w:rsid w:val="3FBA50C3"/>
    <w:rsid w:val="3FBA6DA0"/>
    <w:rsid w:val="3FCE1C4B"/>
    <w:rsid w:val="40132AC3"/>
    <w:rsid w:val="403456B7"/>
    <w:rsid w:val="408110D3"/>
    <w:rsid w:val="40877B6A"/>
    <w:rsid w:val="40BD3B3B"/>
    <w:rsid w:val="40C41E8A"/>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A21686"/>
    <w:rsid w:val="42F073B3"/>
    <w:rsid w:val="431935EC"/>
    <w:rsid w:val="43B9721F"/>
    <w:rsid w:val="444E7AB7"/>
    <w:rsid w:val="44897DBD"/>
    <w:rsid w:val="449256FE"/>
    <w:rsid w:val="44F17D02"/>
    <w:rsid w:val="44FC26CB"/>
    <w:rsid w:val="45450B59"/>
    <w:rsid w:val="457E617A"/>
    <w:rsid w:val="45967968"/>
    <w:rsid w:val="45DB44E8"/>
    <w:rsid w:val="45E76415"/>
    <w:rsid w:val="45F1681E"/>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4179A"/>
    <w:rsid w:val="532C41CA"/>
    <w:rsid w:val="534704F3"/>
    <w:rsid w:val="5382152B"/>
    <w:rsid w:val="539A6771"/>
    <w:rsid w:val="53AF548C"/>
    <w:rsid w:val="54305A92"/>
    <w:rsid w:val="543F19F5"/>
    <w:rsid w:val="544006AE"/>
    <w:rsid w:val="54461671"/>
    <w:rsid w:val="54741E50"/>
    <w:rsid w:val="547A21C6"/>
    <w:rsid w:val="54A97B40"/>
    <w:rsid w:val="556C38E1"/>
    <w:rsid w:val="55AF05D2"/>
    <w:rsid w:val="55E32420"/>
    <w:rsid w:val="56395FD4"/>
    <w:rsid w:val="56EF2C36"/>
    <w:rsid w:val="56FE5CEA"/>
    <w:rsid w:val="574C1A20"/>
    <w:rsid w:val="575A3A43"/>
    <w:rsid w:val="575D270F"/>
    <w:rsid w:val="58224769"/>
    <w:rsid w:val="583F45D6"/>
    <w:rsid w:val="586E207E"/>
    <w:rsid w:val="58867311"/>
    <w:rsid w:val="58B44857"/>
    <w:rsid w:val="590B3D71"/>
    <w:rsid w:val="59715A50"/>
    <w:rsid w:val="599A4A48"/>
    <w:rsid w:val="59D81EA5"/>
    <w:rsid w:val="59E545C2"/>
    <w:rsid w:val="5A5D2664"/>
    <w:rsid w:val="5A8B4A50"/>
    <w:rsid w:val="5A9F6E67"/>
    <w:rsid w:val="5AF061B4"/>
    <w:rsid w:val="5B1C5572"/>
    <w:rsid w:val="5B2242B5"/>
    <w:rsid w:val="5B4C6344"/>
    <w:rsid w:val="5B56533D"/>
    <w:rsid w:val="5B8267D1"/>
    <w:rsid w:val="5BFE7BBD"/>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3822E0"/>
    <w:rsid w:val="613839F8"/>
    <w:rsid w:val="61922529"/>
    <w:rsid w:val="61AF4EC6"/>
    <w:rsid w:val="61E16E01"/>
    <w:rsid w:val="621974FF"/>
    <w:rsid w:val="626B6941"/>
    <w:rsid w:val="628420FD"/>
    <w:rsid w:val="628726BA"/>
    <w:rsid w:val="62A25D33"/>
    <w:rsid w:val="62B71C5C"/>
    <w:rsid w:val="62D41677"/>
    <w:rsid w:val="62F251EC"/>
    <w:rsid w:val="6341380F"/>
    <w:rsid w:val="63A147E3"/>
    <w:rsid w:val="63DF1BA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12481A"/>
    <w:rsid w:val="67C3525E"/>
    <w:rsid w:val="67F00EBC"/>
    <w:rsid w:val="68535CA7"/>
    <w:rsid w:val="687F5CCC"/>
    <w:rsid w:val="68C873DC"/>
    <w:rsid w:val="68F128B4"/>
    <w:rsid w:val="693C5C0C"/>
    <w:rsid w:val="696668F3"/>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445903"/>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8454752"/>
    <w:rsid w:val="78486651"/>
    <w:rsid w:val="784A5E71"/>
    <w:rsid w:val="785B21C7"/>
    <w:rsid w:val="786A09B8"/>
    <w:rsid w:val="78C0202A"/>
    <w:rsid w:val="78C13AD5"/>
    <w:rsid w:val="78F458AA"/>
    <w:rsid w:val="79F44681"/>
    <w:rsid w:val="7A2E0027"/>
    <w:rsid w:val="7A560E98"/>
    <w:rsid w:val="7AD520AB"/>
    <w:rsid w:val="7ADD2D6F"/>
    <w:rsid w:val="7B115E66"/>
    <w:rsid w:val="7B164183"/>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2.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5.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4.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3828;&#30427;&#24742;\&#24037;&#20316;&#20869;&#23481;\2024&#26032;&#29256;&#25351;&#25968;\2024&#24180;12&#26376;\2024&#24180;12&#26376;&#25351;&#25968;&#25968;&#25454;\&#22269;&#20538;&#20225;&#19994;&#20538;&#25910;&#30410;&#29575;-&#25130;&#33267;2024&#24180;12&#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3828;&#30427;&#24742;\&#24037;&#20316;&#20869;&#23481;\2024&#26032;&#29256;&#25351;&#25968;\2024&#24180;12&#26376;\2024&#24180;12&#26376;&#25351;&#25968;&#25968;&#25454;\&#22269;&#20538;&#20225;&#19994;&#20538;&#25910;&#30410;&#29575;-&#25130;&#33267;2024&#24180;12&#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3828;&#30427;&#24742;\&#24037;&#20316;&#20869;&#23481;\2024&#26032;&#29256;&#25351;&#25968;\2024&#24180;12&#26376;\&#21306;&#22495;&#38134;&#34892;&#29702;&#36130;&#20135;&#21697;&#25351;&#25968;&#65288;202412&#65289;&#20840;&#22269;&#25351;&#25968;&#292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'[区域银行理财产品指数（202412）全国指数版.xlsx]现金管理类指数'!$E$2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'[区域银行理财产品指数（202412）全国指数版.xlsx]现金管理类指数'!$A$3:$A$736</c:f>
              <c:numCache>
                <c:formatCode>yyyy/m/d</c:formatCode>
                <c:ptCount val="734"/>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numCache>
            </c:numRef>
          </c:cat>
          <c:val>
            <c:numRef>
              <c:f>'[区域银行理财产品指数（202412）全国指数版.xlsx]现金管理类指数'!$E$3:$E$736</c:f>
              <c:numCache>
                <c:formatCode>0.00_ </c:formatCode>
                <c:ptCount val="734"/>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1.64879665523252</c:v>
                </c:pt>
                <c:pt idx="710">
                  <c:v>1.65828626630683</c:v>
                </c:pt>
                <c:pt idx="711">
                  <c:v>1.65633952223549</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3"/>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majorUnit val="0.5"/>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'[区域银行理财产品指数（202412）全国指数版.xlsx]固收类产品指数'!$M$2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'[区域银行理财产品指数（202412）全国指数版.xlsx]固收类产品指数'!$A$3:$A$39</c:f>
              <c:numCache>
                <c:formatCode>yyyy"年"m"月";@</c:formatCode>
                <c:ptCount val="37"/>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numCache>
            </c:numRef>
          </c:cat>
          <c:val>
            <c:numRef>
              <c:f>'[区域银行理财产品指数（202412）全国指数版.xlsx]固收类产品指数'!$M$3:$M$39</c:f>
              <c:numCache>
                <c:formatCode>0.00_);[Red]\(0.00\)</c:formatCode>
                <c:ptCount val="37"/>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formatCode="0.00_ ">
                  <c:v>106.635954488359</c:v>
                </c:pt>
                <c:pt idx="31" c:formatCode="0.00_ ">
                  <c:v>106.880291659995</c:v>
                </c:pt>
                <c:pt idx="32" c:formatCode="0.00_ ">
                  <c:v>107.01084461275</c:v>
                </c:pt>
                <c:pt idx="33" c:formatCode="0.00_ ">
                  <c:v>107.158249368946</c:v>
                </c:pt>
                <c:pt idx="34" c:formatCode="0.00_ ">
                  <c:v>107.344832676137</c:v>
                </c:pt>
                <c:pt idx="35" c:formatCode="0.00_ ">
                  <c:v>107.591038675001</c:v>
                </c:pt>
                <c:pt idx="36" c:formatCode="0.00_ ">
                  <c:v>107.868493278422</c:v>
                </c:pt>
              </c:numCache>
            </c:numRef>
          </c:val>
          <c:smooth val="0"/>
        </c:ser>
        <c:ser>
          <c:idx val="1"/>
          <c:order val="1"/>
          <c:tx>
            <c:strRef>
              <c:f>'[区域银行理财产品指数（202412）全国指数版.xlsx]固收类产品指数'!$N$2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'[区域银行理财产品指数（202412）全国指数版.xlsx]固收类产品指数'!$A$3:$A$39</c:f>
              <c:numCache>
                <c:formatCode>yyyy"年"m"月";@</c:formatCode>
                <c:ptCount val="37"/>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numCache>
            </c:numRef>
          </c:cat>
          <c:val>
            <c:numRef>
              <c:f>'[区域银行理财产品指数（202412）全国指数版.xlsx]固收类产品指数'!$N$3:$N$39</c:f>
              <c:numCache>
                <c:formatCode>0.00_);[Red]\(0.00\)</c:formatCode>
                <c:ptCount val="37"/>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formatCode="0.00_ ">
                  <c:v>107.227681230757</c:v>
                </c:pt>
                <c:pt idx="31" c:formatCode="0.00_ ">
                  <c:v>107.514015890287</c:v>
                </c:pt>
                <c:pt idx="32" c:formatCode="0.00_ ">
                  <c:v>107.596800980841</c:v>
                </c:pt>
                <c:pt idx="33" c:formatCode="0.00_ ">
                  <c:v>107.739920592421</c:v>
                </c:pt>
                <c:pt idx="34" c:formatCode="0.00_ ">
                  <c:v>107.917688317469</c:v>
                </c:pt>
                <c:pt idx="35" c:formatCode="0.00_ ">
                  <c:v>108.248637220795</c:v>
                </c:pt>
                <c:pt idx="36" c:formatCode="0.00_ ">
                  <c:v>108.631933326079</c:v>
                </c:pt>
              </c:numCache>
            </c:numRef>
          </c:val>
          <c:smooth val="0"/>
        </c:ser>
        <c:ser>
          <c:idx val="2"/>
          <c:order val="2"/>
          <c:tx>
            <c:strRef>
              <c:f>'[区域银行理财产品指数（202412）全国指数版.xlsx]固收类产品指数'!$O$2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'[区域银行理财产品指数（202412）全国指数版.xlsx]固收类产品指数'!$A$3:$A$39</c:f>
              <c:numCache>
                <c:formatCode>yyyy"年"m"月";@</c:formatCode>
                <c:ptCount val="37"/>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numCache>
            </c:numRef>
          </c:cat>
          <c:val>
            <c:numRef>
              <c:f>'[区域银行理财产品指数（202412）全国指数版.xlsx]固收类产品指数'!$O$3:$O$39</c:f>
              <c:numCache>
                <c:formatCode>0.00_);[Red]\(0.00\)</c:formatCode>
                <c:ptCount val="37"/>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formatCode="0.00_ ">
                  <c:v>107.311919895746</c:v>
                </c:pt>
                <c:pt idx="31" c:formatCode="0.00_ ">
                  <c:v>107.585554950608</c:v>
                </c:pt>
                <c:pt idx="32" c:formatCode="0.00_ ">
                  <c:v>107.65635702653</c:v>
                </c:pt>
                <c:pt idx="33" c:formatCode="0.00_ ">
                  <c:v>107.900793314069</c:v>
                </c:pt>
                <c:pt idx="34" c:formatCode="0.00_ ">
                  <c:v>108.082994234337</c:v>
                </c:pt>
                <c:pt idx="35" c:formatCode="0.00_ ">
                  <c:v>108.428779980933</c:v>
                </c:pt>
                <c:pt idx="36" c:formatCode="0.00_ ">
                  <c:v>108.890880492738</c:v>
                </c:pt>
              </c:numCache>
            </c:numRef>
          </c:val>
          <c:smooth val="0"/>
        </c:ser>
        <c:ser>
          <c:idx val="3"/>
          <c:order val="3"/>
          <c:tx>
            <c:strRef>
              <c:f>'[区域银行理财产品指数（202412）全国指数版.xlsx]固收类产品指数'!$P$2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'[区域银行理财产品指数（202412）全国指数版.xlsx]固收类产品指数'!$A$3:$A$39</c:f>
              <c:numCache>
                <c:formatCode>yyyy"年"m"月";@</c:formatCode>
                <c:ptCount val="37"/>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numCache>
            </c:numRef>
          </c:cat>
          <c:val>
            <c:numRef>
              <c:f>'[区域银行理财产品指数（202412）全国指数版.xlsx]固收类产品指数'!$P$3:$P$39</c:f>
              <c:numCache>
                <c:formatCode>0.00_);[Red]\(0.00\)</c:formatCode>
                <c:ptCount val="37"/>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107.947348629892</c:v>
                </c:pt>
                <c:pt idx="36" c:formatCode="0.00_ ">
                  <c:v>108.290633525311</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majorUnit val="2"/>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'[区域银行理财产品指数（202412）全国指数版.xlsx]全国固收指数收益'!$O$2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'[区域银行理财产品指数（202412）全国指数版.xlsx]全国固收指数收益'!$O$31:$O$36</c:f>
              <c:numCache>
                <c:formatCode>0.00%</c:formatCode>
                <c:ptCount val="6"/>
                <c:pt idx="0">
                  <c:v>0.0074061126096111</c:v>
                </c:pt>
                <c:pt idx="1">
                  <c:v>0.0057267783602064</c:v>
                </c:pt>
                <c:pt idx="2">
                  <c:v>0.00503952550297968</c:v>
                </c:pt>
                <c:pt idx="3">
                  <c:v>0.00432137503436013</c:v>
                </c:pt>
                <c:pt idx="4">
                  <c:v>0.00599235070403056</c:v>
                </c:pt>
                <c:pt idx="5">
                  <c:v>0.00756791459083628</c:v>
                </c:pt>
              </c:numCache>
            </c:numRef>
          </c:val>
        </c:ser>
        <c:ser>
          <c:idx val="1"/>
          <c:order val="1"/>
          <c:tx>
            <c:strRef>
              <c:f>'[区域银行理财产品指数（202412）全国指数版.xlsx]全国固收指数收益'!$P$2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'[区域银行理财产品指数（202412）全国指数版.xlsx]全国固收指数收益'!$P$31:$P$36</c:f>
              <c:numCache>
                <c:formatCode>0.00%</c:formatCode>
                <c:ptCount val="6"/>
                <c:pt idx="0">
                  <c:v>0.0156741654977406</c:v>
                </c:pt>
                <c:pt idx="1">
                  <c:v>0.0133668926367203</c:v>
                </c:pt>
                <c:pt idx="2">
                  <c:v>0.0128572530541808</c:v>
                </c:pt>
                <c:pt idx="3">
                  <c:v>0.0117594922341041</c:v>
                </c:pt>
                <c:pt idx="4">
                  <c:v>0.0117534459285756</c:v>
                </c:pt>
                <c:pt idx="5">
                  <c:v>0.0126455787924009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'[区域银行理财产品指数（202412）全国指数版.xlsx]全国固收指数收益'!$I$2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'[区域银行理财产品指数（202412）全国指数版.xlsx]全国固收指数收益'!$I$31:$I$36</c:f>
              <c:numCache>
                <c:formatCode>0.00%</c:formatCode>
                <c:ptCount val="6"/>
                <c:pt idx="0">
                  <c:v>0.00678188596015904</c:v>
                </c:pt>
                <c:pt idx="1">
                  <c:v>0.00567579264220157</c:v>
                </c:pt>
                <c:pt idx="2">
                  <c:v>0.0048979247486739</c:v>
                </c:pt>
                <c:pt idx="3">
                  <c:v>0.00434636740719041</c:v>
                </c:pt>
                <c:pt idx="4">
                  <c:v>0.00542182490336041</c:v>
                </c:pt>
                <c:pt idx="5">
                  <c:v>0.00662799097277901</c:v>
                </c:pt>
              </c:numCache>
            </c:numRef>
          </c:val>
        </c:ser>
        <c:ser>
          <c:idx val="1"/>
          <c:order val="1"/>
          <c:tx>
            <c:strRef>
              <c:f>'[区域银行理财产品指数（202412）全国指数版.xlsx]全国固收指数收益'!$J$2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'[区域银行理财产品指数（202412）全国指数版.xlsx]全国固收指数收益'!$J$31:$J$36</c:f>
              <c:numCache>
                <c:formatCode>0.00%</c:formatCode>
                <c:ptCount val="6"/>
                <c:pt idx="0">
                  <c:v>0.0136243148247123</c:v>
                </c:pt>
                <c:pt idx="1">
                  <c:v>0.0122401962073743</c:v>
                </c:pt>
                <c:pt idx="2">
                  <c:v>0.0117166758834914</c:v>
                </c:pt>
                <c:pt idx="3">
                  <c:v>0.011157729935446</c:v>
                </c:pt>
                <c:pt idx="4">
                  <c:v>0.0111283906994558</c:v>
                </c:pt>
                <c:pt idx="5">
                  <c:v>0.0115583791224725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195aea3-92ce-4a44-bd00-9ca0cbd15e15}"/>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'[区域银行理财产品指数（202412）全国指数版.xlsx]全国固收指数收益'!$K$2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'[区域银行理财产品指数（202412）全国指数版.xlsx]全国固收指数收益'!$K$31:$K$36</c:f>
              <c:numCache>
                <c:formatCode>0.00%</c:formatCode>
                <c:ptCount val="6"/>
                <c:pt idx="0">
                  <c:v>0.0079318702071191</c:v>
                </c:pt>
                <c:pt idx="1">
                  <c:v>0.00588391088885566</c:v>
                </c:pt>
                <c:pt idx="2">
                  <c:v>0.00477711870465284</c:v>
                </c:pt>
                <c:pt idx="3">
                  <c:v>0.00375460281935642</c:v>
                </c:pt>
                <c:pt idx="4">
                  <c:v>0.00605813773283612</c:v>
                </c:pt>
                <c:pt idx="5">
                  <c:v>0.00827931493501805</c:v>
                </c:pt>
              </c:numCache>
            </c:numRef>
          </c:val>
        </c:ser>
        <c:ser>
          <c:idx val="1"/>
          <c:order val="1"/>
          <c:tx>
            <c:strRef>
              <c:f>'[区域银行理财产品指数（202412）全国指数版.xlsx]全国固收指数收益'!$L$2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'[区域银行理财产品指数（202412）全国指数版.xlsx]全国固收指数收益'!$L$31:$L$36</c:f>
              <c:numCache>
                <c:formatCode>0.00%</c:formatCode>
                <c:ptCount val="6"/>
                <c:pt idx="0">
                  <c:v>0.0163883440317361</c:v>
                </c:pt>
                <c:pt idx="1">
                  <c:v>0.0137064049774742</c:v>
                </c:pt>
                <c:pt idx="2">
                  <c:v>0.0129192800350633</c:v>
                </c:pt>
                <c:pt idx="3">
                  <c:v>0.0117162540487179</c:v>
                </c:pt>
                <c:pt idx="4">
                  <c:v>0.0119776941642642</c:v>
                </c:pt>
                <c:pt idx="5">
                  <c:v>0.0130959849099087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b8735942-c2d1-454d-ab64-eae9fab6af95}"/>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'[区域银行理财产品指数（202412）全国指数版.xlsx]全国固收指数收益'!$M$2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'[区域银行理财产品指数（202412）全国指数版.xlsx]全国固收指数收益'!$M$31:$M$36</c:f>
              <c:numCache>
                <c:formatCode>0.00%</c:formatCode>
                <c:ptCount val="6"/>
                <c:pt idx="0">
                  <c:v>0.008294850636166</c:v>
                </c:pt>
                <c:pt idx="1">
                  <c:v>0.00569849057423986</c:v>
                </c:pt>
                <c:pt idx="2">
                  <c:v>0.00548749308459952</c:v>
                </c:pt>
                <c:pt idx="3">
                  <c:v>0.00462366238625033</c:v>
                </c:pt>
                <c:pt idx="4">
                  <c:v>0.0071748940400485</c:v>
                </c:pt>
                <c:pt idx="5">
                  <c:v>0.00917590268115061</c:v>
                </c:pt>
              </c:numCache>
            </c:numRef>
          </c:val>
        </c:ser>
        <c:ser>
          <c:idx val="1"/>
          <c:order val="1"/>
          <c:tx>
            <c:strRef>
              <c:f>'[区域银行理财产品指数（202412）全国指数版.xlsx]全国固收指数收益'!$N$2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'[区域银行理财产品指数（202412）全国指数版.xlsx]全国固收指数收益'!$H$31:$H$36</c:f>
              <c:strCache>
                <c:ptCount val="6"/>
                <c:pt idx="0" c:formatCode="@">
                  <c:v>2024-07</c:v>
                </c:pt>
                <c:pt idx="1" c:formatCode="@">
                  <c:v>2024-08</c:v>
                </c:pt>
                <c:pt idx="2" c:formatCode="@">
                  <c:v>2024-09</c:v>
                </c:pt>
                <c:pt idx="3" c:formatCode="@">
                  <c:v>2024-10</c:v>
                </c:pt>
                <c:pt idx="4" c:formatCode="@">
                  <c:v>2024-11</c:v>
                </c:pt>
                <c:pt idx="5" c:formatCode="@">
                  <c:v>2024-12</c:v>
                </c:pt>
              </c:strCache>
            </c:strRef>
          </c:cat>
          <c:val>
            <c:numRef>
              <c:f>'[区域银行理财产品指数（202412）全国指数版.xlsx]全国固收指数收益'!$N$31:$N$36</c:f>
              <c:numCache>
                <c:formatCode>0.00%</c:formatCode>
                <c:ptCount val="6"/>
                <c:pt idx="0">
                  <c:v>0.0189659188052088</c:v>
                </c:pt>
                <c:pt idx="1">
                  <c:v>0.0152181582040502</c:v>
                </c:pt>
                <c:pt idx="2">
                  <c:v>0.0150055978405136</c:v>
                </c:pt>
                <c:pt idx="3">
                  <c:v>0.0129568656113023</c:v>
                </c:pt>
                <c:pt idx="4">
                  <c:v>0.0129142706803467</c:v>
                </c:pt>
                <c:pt idx="5">
                  <c:v>0.0147137484682579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3190227c-8101-4286-8f1f-6de86fe1ea47}"/>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'[国债企业债收益率-截至2024年12月.xls]Sheet0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'[国债企业债收益率-截至2024年12月.xls]Sheet0 (2)'!$A$222:$A$977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(2)'!$B$222:$B$977</c:f>
              <c:numCache>
                <c:formatCode>#,##0.00_ </c:formatCode>
                <c:ptCount val="756"/>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numCache>
            </c:numRef>
          </c:val>
          <c:smooth val="0"/>
        </c:ser>
        <c:ser>
          <c:idx val="1"/>
          <c:order val="1"/>
          <c:tx>
            <c:strRef>
              <c:f>'[国债企业债收益率-截至2024年12月.xls]Sheet0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'[国债企业债收益率-截至2024年12月.xls]Sheet0 (2)'!$A$222:$A$977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(2)'!$C$222:$C$977</c:f>
              <c:numCache>
                <c:formatCode>#,##0.00_ </c:formatCode>
                <c:ptCount val="756"/>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numCache>
            </c:numRef>
          </c:val>
          <c:smooth val="0"/>
        </c:ser>
        <c:ser>
          <c:idx val="2"/>
          <c:order val="2"/>
          <c:tx>
            <c:strRef>
              <c:f>'[国债企业债收益率-截至2024年12月.xls]Sheet0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'[国债企业债收益率-截至2024年12月.xls]Sheet0 (2)'!$A$222:$A$977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(2)'!$D$222:$D$977</c:f>
              <c:numCache>
                <c:formatCode>#,##0.00_ </c:formatCode>
                <c:ptCount val="756"/>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numCache>
            </c:numRef>
          </c:val>
          <c:smooth val="0"/>
        </c:ser>
        <c:ser>
          <c:idx val="3"/>
          <c:order val="3"/>
          <c:tx>
            <c:strRef>
              <c:f>'[国债企业债收益率-截至2024年12月.xls]Sheet0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'[国债企业债收益率-截至2024年12月.xls]Sheet0 (2)'!$A$222:$A$977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(2)'!$E$222:$E$977</c:f>
              <c:numCache>
                <c:formatCode>#,##0.00_ </c:formatCode>
                <c:ptCount val="756"/>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numCache>
            </c:numRef>
          </c:val>
          <c:smooth val="0"/>
        </c:ser>
        <c:dLbls>
          <c:showLegendKey val="0"/>
          <c:showVal val="0"/>
          <c:showCatName val="0"/>
          <c:showSerName val="0"/>
          <c:showPercent val="0"/>
          <c:showBubbleSize val="0"/>
        </c:dLbls>
        <c:marker val="0"/>
        <c:smooth val="0"/>
        <c:axId val="31287886"/>
        <c:axId val="562215436"/>
      </c:lineChart>
      <c:dateAx>
        <c:axId val="31287886"/>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62215436"/>
        <c:crosses val="autoZero"/>
        <c:auto val="0"/>
        <c:lblAlgn val="ctr"/>
        <c:lblOffset val="100"/>
        <c:baseTimeUnit val="days"/>
      </c:dateAx>
      <c:valAx>
        <c:axId val="562215436"/>
        <c:scaling>
          <c:orientation val="minMax"/>
          <c:min val="0.9"/>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1287886"/>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f250925b-b3ec-4ce9-8aae-984f79627d8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'[国债企业债收益率-截至2024年12月.xls]Sheet0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(2)'!$H$222:$H$977</c:f>
              <c:numCache>
                <c:formatCode>0.00_ </c:formatCode>
                <c:ptCount val="756"/>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numCache>
            </c:numRef>
          </c:val>
          <c:smooth val="0"/>
        </c:ser>
        <c:ser>
          <c:idx val="1"/>
          <c:order val="1"/>
          <c:tx>
            <c:strRef>
              <c:f>'[国债企业债收益率-截至2024年12月.xls]Sheet0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(2)'!$I$222:$I$977</c:f>
              <c:numCache>
                <c:formatCode>0.00_ </c:formatCode>
                <c:ptCount val="756"/>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numCache>
            </c:numRef>
          </c:val>
          <c:smooth val="0"/>
        </c:ser>
        <c:ser>
          <c:idx val="2"/>
          <c:order val="2"/>
          <c:tx>
            <c:strRef>
              <c:f>'[国债企业债收益率-截至2024年12月.xls]Sheet0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(2)'!$J$222:$J$977</c:f>
              <c:numCache>
                <c:formatCode>0.00_ </c:formatCode>
                <c:ptCount val="756"/>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numCache>
            </c:numRef>
          </c:val>
          <c:smooth val="0"/>
        </c:ser>
        <c:ser>
          <c:idx val="3"/>
          <c:order val="3"/>
          <c:tx>
            <c:strRef>
              <c:f>'[国债企业债收益率-截至2024年12月.xls]Sheet0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'[国债企业债收益率-截至2024年12月.xls]Sheet0 (2)'!$G$222:$G$977</c:f>
              <c:strCache>
                <c:ptCount val="756"/>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strCache>
            </c:strRef>
          </c:cat>
          <c:val>
            <c:numRef>
              <c:f>'[国债企业债收益率-截至2024年12月.xls]Sheet0 (2)'!$K$222:$K$977</c:f>
              <c:numCache>
                <c:formatCode>0.00_ </c:formatCode>
                <c:ptCount val="756"/>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numCache>
            </c:numRef>
          </c:val>
          <c:smooth val="0"/>
        </c:ser>
        <c:dLbls>
          <c:showLegendKey val="0"/>
          <c:showVal val="0"/>
          <c:showCatName val="0"/>
          <c:showSerName val="0"/>
          <c:showPercent val="0"/>
          <c:showBubbleSize val="0"/>
        </c:dLbls>
        <c:marker val="0"/>
        <c:smooth val="0"/>
        <c:axId val="212281359"/>
        <c:axId val="760251577"/>
      </c:lineChart>
      <c:catAx>
        <c:axId val="21228135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60251577"/>
        <c:crosses val="autoZero"/>
        <c:auto val="1"/>
        <c:lblAlgn val="ctr"/>
        <c:lblOffset val="100"/>
        <c:tickLblSkip val="50"/>
        <c:noMultiLvlLbl val="0"/>
      </c:catAx>
      <c:valAx>
        <c:axId val="760251577"/>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1228135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9a272919-c8a0-4a2f-b8e0-a5e18879ad2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'[区域银行理财产品指数（202412）全国指数版.xlsx]现金管理类指数'!$H$2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'[区域银行理财产品指数（202412）全国指数版.xlsx]现金管理类指数'!$A$3:$A$736</c:f>
              <c:numCache>
                <c:formatCode>yyyy/m/d</c:formatCode>
                <c:ptCount val="734"/>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numCache>
            </c:numRef>
          </c:cat>
          <c:val>
            <c:numRef>
              <c:f>'[区域银行理财产品指数（202412）全国指数版.xlsx]现金管理类指数'!$H$3:$H$736</c:f>
              <c:numCache>
                <c:formatCode>General</c:formatCode>
                <c:ptCount val="734"/>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63.3949190631701</c:v>
                </c:pt>
                <c:pt idx="632" c:formatCode="0.00_ ">
                  <c:v>63.7437104584854</c:v>
                </c:pt>
                <c:pt idx="633" c:formatCode="0.00_ ">
                  <c:v>63.7940479868252</c:v>
                </c:pt>
                <c:pt idx="634" c:formatCode="0.00_ ">
                  <c:v>63.4310392122434</c:v>
                </c:pt>
                <c:pt idx="635" c:formatCode="0.00_ ">
                  <c:v>63.0855270443993</c:v>
                </c:pt>
                <c:pt idx="636" c:formatCode="0.00_ ">
                  <c:v>63.0462198170273</c:v>
                </c:pt>
                <c:pt idx="637" c:formatCode="0.00_ ">
                  <c:v>62.8659106807122</c:v>
                </c:pt>
                <c:pt idx="638" c:formatCode="0.00_ ">
                  <c:v>62.8139353140852</c:v>
                </c:pt>
                <c:pt idx="639" c:formatCode="0.00_ ">
                  <c:v>62.2290147513958</c:v>
                </c:pt>
                <c:pt idx="640" c:formatCode="0.00_ ">
                  <c:v>62.1131918391008</c:v>
                </c:pt>
                <c:pt idx="641" c:formatCode="0.00_ ">
                  <c:v>62.0815001024239</c:v>
                </c:pt>
                <c:pt idx="642" c:formatCode="0.00_ ">
                  <c:v>62.1679819257011</c:v>
                </c:pt>
                <c:pt idx="643" c:formatCode="0.00_ ">
                  <c:v>61.8223967130574</c:v>
                </c:pt>
                <c:pt idx="644" c:formatCode="0.00_ ">
                  <c:v>61.5457209558905</c:v>
                </c:pt>
                <c:pt idx="645" c:formatCode="0.00_ ">
                  <c:v>61.7022708304737</c:v>
                </c:pt>
                <c:pt idx="646" c:formatCode="0.00_ ">
                  <c:v>61.2300357331762</c:v>
                </c:pt>
                <c:pt idx="647" c:formatCode="0.00_ ">
                  <c:v>61.1969925774556</c:v>
                </c:pt>
                <c:pt idx="648" c:formatCode="0.00_ ">
                  <c:v>61.6385383191489</c:v>
                </c:pt>
                <c:pt idx="649" c:formatCode="0.00_ ">
                  <c:v>61.3849005869007</c:v>
                </c:pt>
                <c:pt idx="650" c:formatCode="0.00_ ">
                  <c:v>61.3324664679064</c:v>
                </c:pt>
                <c:pt idx="651" c:formatCode="0.00_ ">
                  <c:v>61.3744750850132</c:v>
                </c:pt>
                <c:pt idx="652" c:formatCode="0.00_ ">
                  <c:v>61.6618082844672</c:v>
                </c:pt>
                <c:pt idx="653" c:formatCode="0.00_ ">
                  <c:v>61.6764149542531</c:v>
                </c:pt>
                <c:pt idx="654" c:formatCode="0.00_ ">
                  <c:v>61.5217598842859</c:v>
                </c:pt>
                <c:pt idx="655" c:formatCode="0.00_ ">
                  <c:v>61.4981286807701</c:v>
                </c:pt>
                <c:pt idx="656" c:formatCode="0.00_ ">
                  <c:v>61.504895086156</c:v>
                </c:pt>
                <c:pt idx="657" c:formatCode="0.00_ ">
                  <c:v>61.3755862814176</c:v>
                </c:pt>
                <c:pt idx="658" c:formatCode="0.00_ ">
                  <c:v>61.2326171434677</c:v>
                </c:pt>
                <c:pt idx="659" c:formatCode="0.00_ ">
                  <c:v>60.6556045490574</c:v>
                </c:pt>
                <c:pt idx="660" c:formatCode="0.00_ ">
                  <c:v>60.827961389009</c:v>
                </c:pt>
                <c:pt idx="661" c:formatCode="0.00_ ">
                  <c:v>60.8072225731899</c:v>
                </c:pt>
                <c:pt idx="662" c:formatCode="0.00_ ">
                  <c:v>61.1508166166669</c:v>
                </c:pt>
                <c:pt idx="663" c:formatCode="0.00_ ">
                  <c:v>61.098265271995</c:v>
                </c:pt>
                <c:pt idx="664" c:formatCode="0.00_ ">
                  <c:v>60.4426411061724</c:v>
                </c:pt>
                <c:pt idx="665" c:formatCode="0.00_ ">
                  <c:v>60.4108024260724</c:v>
                </c:pt>
                <c:pt idx="666" c:formatCode="0.00_ ">
                  <c:v>60.6099241021391</c:v>
                </c:pt>
                <c:pt idx="667" c:formatCode="0.00_ ">
                  <c:v>60.758584095427</c:v>
                </c:pt>
                <c:pt idx="668" c:formatCode="0.00_ ">
                  <c:v>60.9480635246973</c:v>
                </c:pt>
                <c:pt idx="669" c:formatCode="0.00_ ">
                  <c:v>61.0160189441864</c:v>
                </c:pt>
                <c:pt idx="670" c:formatCode="0.00_ ">
                  <c:v>61.1718733277422</c:v>
                </c:pt>
                <c:pt idx="671" c:formatCode="0.00_ ">
                  <c:v>61.3026782560219</c:v>
                </c:pt>
                <c:pt idx="672" c:formatCode="0.00_ ">
                  <c:v>62.9126235543092</c:v>
                </c:pt>
                <c:pt idx="673" c:formatCode="0.00_ ">
                  <c:v>61.3247281784147</c:v>
                </c:pt>
                <c:pt idx="674" c:formatCode="0.00_ ">
                  <c:v>61.9114848127696</c:v>
                </c:pt>
                <c:pt idx="675" c:formatCode="0.00_ ">
                  <c:v>62.3133251795472</c:v>
                </c:pt>
                <c:pt idx="676" c:formatCode="0.00_ ">
                  <c:v>62.6681942693644</c:v>
                </c:pt>
                <c:pt idx="677" c:formatCode="0.00_ ">
                  <c:v>62.7188838307977</c:v>
                </c:pt>
                <c:pt idx="678" c:formatCode="0.00_ ">
                  <c:v>62.189477943544</c:v>
                </c:pt>
                <c:pt idx="679" c:formatCode="0.00_ ">
                  <c:v>61.9898915221086</c:v>
                </c:pt>
                <c:pt idx="680" c:formatCode="0.00_ ">
                  <c:v>61.7311045632536</c:v>
                </c:pt>
                <c:pt idx="681" c:formatCode="0.00_ ">
                  <c:v>61.8499426673128</c:v>
                </c:pt>
                <c:pt idx="682" c:formatCode="0.00_ ">
                  <c:v>60.7763393444619</c:v>
                </c:pt>
                <c:pt idx="683" c:formatCode="0.00_ ">
                  <c:v>60.5990295738602</c:v>
                </c:pt>
                <c:pt idx="684" c:formatCode="0.00_ ">
                  <c:v>60.3245291811228</c:v>
                </c:pt>
                <c:pt idx="685" c:formatCode="0.00_ ">
                  <c:v>60.3340232869603</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58.6749712739021</c:v>
                </c:pt>
                <c:pt idx="710" c:formatCode="0.00_ ">
                  <c:v>59.0126737161157</c:v>
                </c:pt>
                <c:pt idx="711" c:formatCode="0.00_ ">
                  <c:v>58.9433958266312</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'[区域银行理财产品指数（202412）全国指数版.xlsx]固收整体'!$I$2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'[区域银行理财产品指数（202412）全国指数版.xlsx]固收整体'!$A$3:$A$39</c:f>
              <c:numCache>
                <c:formatCode>yyyy\-mm</c:formatCode>
                <c:ptCount val="37"/>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numCache>
            </c:numRef>
          </c:cat>
          <c:val>
            <c:numRef>
              <c:f>'[区域银行理财产品指数（202412）全国指数版.xlsx]固收整体'!$I$3:$I$39</c:f>
              <c:numCache>
                <c:formatCode>General</c:formatCode>
                <c:ptCount val="37"/>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107.947348629892</c:v>
                </c:pt>
                <c:pt idx="36" c:formatCode="0.00_ ">
                  <c:v>108.290633525311</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'[区域银行理财产品指数（202412）全国指数版.xlsx]固收整体'!$G$2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'[区域银行理财产品指数（202412）全国指数版.xlsx]固收整体'!$A$3:$A$39</c15:sqref>
                        </c15:formulaRef>
                      </c:ext>
                    </c:extLst>
                    <c:numCache>
                      <c:formatCode>yyyy\-mm</c:formatCode>
                      <c:ptCount val="37"/>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109.313501526403,109.642327603766}</c15:sqref>
                        </c15:formulaRef>
                      </c:ext>
                    </c:extLst>
                    <c:numCache>
                      <c:formatCode>General</c:formatCode>
                      <c:ptCount val="37"/>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109.313501526403</c:v>
                      </c:pt>
                      <c:pt idx="36" c:formatCode="0.00_ ">
                        <c:v>109.642327603766</c:v>
                      </c:pt>
                    </c:numCache>
                  </c:numRef>
                </c:val>
                <c:smooth val="0"/>
              </c15:ser>
            </c15:filteredLineSeries>
            <c15:filteredLineSeries>
              <c15:ser>
                <c:idx val="1"/>
                <c:order val="1"/>
                <c:tx>
                  <c:strRef>
                    <c:extLst>
                      <c:ext uri="{02D57815-91ED-43cb-92C2-25804820EDAC}">
                        <c15:formulaRef>
                          <c15:sqref>'[区域银行理财产品指数（202412）全国指数版.xlsx]固收整体'!$H$2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'[区域银行理财产品指数（202412）全国指数版.xlsx]固收整体'!$A$3:$A$39</c15:sqref>
                        </c15:formulaRef>
                      </c:ext>
                    </c:extLst>
                    <c:numCache>
                      <c:formatCode>yyyy\-mm</c:formatCode>
                      <c:ptCount val="37"/>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109.035655750501,109.324115823435}</c15:sqref>
                        </c15:formulaRef>
                      </c:ext>
                    </c:extLst>
                    <c:numCache>
                      <c:formatCode>General</c:formatCode>
                      <c:ptCount val="37"/>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109.035655750501</c:v>
                      </c:pt>
                      <c:pt idx="36" c:formatCode="0.00_ ">
                        <c:v>109.324115823435</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3245</Words>
  <Characters>3654</Characters>
  <Lines>13</Lines>
  <Paragraphs>3</Paragraphs>
  <TotalTime>2</TotalTime>
  <ScaleCrop>false</ScaleCrop>
  <LinksUpToDate>false</LinksUpToDate>
  <CharactersWithSpaces>3661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2025-01-15T09:32:43Z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7DBF179259514D43BD085DEB5F9D385C_13</vt:lpwstr>
  </property>
  <property fmtid="{D5CDD505-2E9C-101B-9397-08002B2CF9AE}" pid="4" name="KSOTemplateDocerSaveRecord">
    <vt:lpwstr>eyJoZGlkIjoiYTExMWY2ZjM3YmY0YjMxNmQyODczMjdjN2RlMmEzMmEiLCJ1c2VySWQiOiI2Nzc0OTM1In0=</vt:lpwstr>
  </property>
</Properties>
</file>