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1</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收益呈浅“V”走势</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1.20</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呈浅“V”走势</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截至2025年1月24日，全国现金管理类产品的平均近7日年化收益率为1.66%，较12月31日环比持平，较基期下降115BP。本月</w:t>
      </w:r>
      <w:r>
        <w:rPr>
          <w:rFonts w:hint="eastAsia" w:ascii="楷体" w:hAnsi="楷体" w:eastAsia="楷体" w:cs="楷体"/>
          <w:b w:val="0"/>
          <w:bCs w:val="0"/>
          <w:sz w:val="24"/>
          <w:highlight w:val="none"/>
          <w:lang w:val="en-US" w:eastAsia="zh-CN"/>
        </w:rPr>
        <w:t>资金利率上半月走势相对平稳，月中整体冲高后，月末震荡走低。</w:t>
      </w:r>
      <w:r>
        <w:rPr>
          <w:rFonts w:hint="eastAsia" w:ascii="楷体" w:hAnsi="楷体" w:eastAsia="楷体" w:cs="楷体"/>
          <w:sz w:val="24"/>
          <w:highlight w:val="none"/>
          <w:lang w:val="en-US" w:eastAsia="zh-CN"/>
        </w:rPr>
        <w:t>全国地区现金管理类产品平均近7日年化收益率</w:t>
      </w:r>
      <w:r>
        <w:rPr>
          <w:rFonts w:hint="eastAsia" w:ascii="楷体" w:hAnsi="楷体" w:eastAsia="楷体" w:cs="楷体"/>
          <w:sz w:val="24"/>
          <w:highlight w:val="none"/>
          <w:lang w:val="en-US" w:eastAsia="zh-CN"/>
        </w:rPr>
        <w:t>平稳运行，上半月有所下降，下半月回升至月初水平，整体</w:t>
      </w:r>
      <w:r>
        <w:rPr>
          <w:rFonts w:hint="eastAsia" w:ascii="楷体" w:hAnsi="楷体" w:eastAsia="楷体" w:cs="楷体"/>
          <w:sz w:val="24"/>
          <w:highlight w:val="none"/>
        </w:rPr>
        <w:t>呈浅“V”走势</w:t>
      </w:r>
      <w:r>
        <w:rPr>
          <w:rFonts w:hint="eastAsia" w:ascii="楷体" w:hAnsi="楷体" w:eastAsia="楷体" w:cs="楷体"/>
          <w:sz w:val="24"/>
          <w:highlight w:val="none"/>
          <w:lang w:val="en-US" w:eastAsia="zh-CN"/>
        </w:rPr>
        <w:t>。</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3675" cy="2704465"/>
                  <wp:effectExtent l="4445" t="4445" r="17780" b="15240"/>
                  <wp:docPr id="16"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36ED0B26">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kern w:val="2"/>
          <w:sz w:val="24"/>
          <w:szCs w:val="24"/>
          <w:highlight w:val="none"/>
          <w:lang w:val="en-US" w:eastAsia="zh-CN" w:bidi="ar"/>
        </w:rPr>
        <w:t>公开市场方面，1月15日9950亿MLF到期，央行于24日投放MLF2000亿元，净回笼7950亿元；央行质押式逆回购净投放19733亿元，月末逆回购余额升至26265亿元，高于往年同期；而买断式逆回购工具释放流动性的规模进一步上升至17000亿；考虑1月PSL余额继续与上月持平，我们预计1月央行对其他存款性公司债权或环比上升约2.9万亿。此外，1月10日央行宣布，鉴于近期政府债券市场持续供不应求，决定2025年1月起暂停开展公开市场国债买入操作，后续将视国债市场供求状况择机恢复，因此国债买卖对流动性的影响暂缓。</w:t>
      </w:r>
    </w:p>
    <w:p w14:paraId="208CF9AA">
      <w:pPr>
        <w:keepNext w:val="0"/>
        <w:keepLines w:val="0"/>
        <w:widowControl/>
        <w:numPr>
          <w:ilvl w:val="0"/>
          <w:numId w:val="0"/>
        </w:numPr>
        <w:suppressLineNumbers w:val="0"/>
        <w:pBdr>
          <w:top w:val="none" w:color="auto" w:sz="0" w:space="0"/>
          <w:left w:val="none" w:color="auto" w:sz="0" w:space="0"/>
          <w:right w:val="none" w:color="auto" w:sz="0" w:space="0"/>
        </w:pBdr>
        <w:spacing w:before="0" w:beforeAutospacing="0" w:after="0" w:afterAutospacing="0" w:line="360" w:lineRule="auto"/>
        <w:ind w:left="0" w:right="0" w:firstLine="480" w:firstLineChars="200"/>
        <w:jc w:val="left"/>
        <w:rPr>
          <w:rFonts w:hint="eastAsia" w:ascii="楷体" w:hAnsi="楷体" w:eastAsia="楷体" w:cs="楷体"/>
          <w:color w:val="auto"/>
          <w:sz w:val="24"/>
          <w:lang w:bidi="ar"/>
        </w:rPr>
      </w:pPr>
      <w:r>
        <w:rPr>
          <w:rStyle w:val="10"/>
          <w:rFonts w:hint="eastAsia" w:ascii="楷体" w:hAnsi="楷体" w:eastAsia="楷体" w:cs="楷体"/>
          <w:b w:val="0"/>
          <w:color w:val="auto"/>
          <w:sz w:val="24"/>
          <w:lang w:bidi="ar"/>
        </w:rPr>
        <w:t>1月的资金面打破了以往很多的经验规律。1月DR007均值达到1.93%，与OMO利差达到43BP，创下了2020年央行强调政策利率引导作用以来的新高；中旬R007一度超过4%，创下了2021年1月以来非跨年时点的最高值，打破了2024年4月以来每当DR007偏离OMO利率20BP以上就会触发央行加大维稳的规律；而在1月末跨春节时点资金价格居高不下，1月24日R014达4.13%，创下2023年末以来的新高，同样打破了2023年10月以来资金面月末不紧的规律。</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1.20</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1月</w:t>
      </w:r>
      <w:r>
        <w:rPr>
          <w:rFonts w:hint="eastAsia" w:ascii="楷体" w:hAnsi="楷体" w:eastAsia="楷体" w:cs="楷体"/>
          <w:b w:val="0"/>
          <w:bCs w:val="0"/>
          <w:sz w:val="24"/>
          <w:highlight w:val="none"/>
          <w:lang w:val="en-US" w:eastAsia="zh-CN"/>
        </w:rPr>
        <w:t>各类债市指数均有所波动</w:t>
      </w:r>
      <w:r>
        <w:rPr>
          <w:rFonts w:hint="eastAsia" w:ascii="楷体" w:hAnsi="楷体" w:eastAsia="楷体" w:cs="楷体"/>
          <w:color w:val="000000" w:themeColor="text1"/>
          <w:sz w:val="24"/>
          <w:lang w:val="en-US" w:eastAsia="zh-CN"/>
          <w14:textFill>
            <w14:solidFill>
              <w14:schemeClr w14:val="tx1"/>
            </w14:solidFill>
          </w14:textFill>
        </w:rPr>
        <w:t>，固收类产品收益有所回落</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过去三个月投资收益为0.76%，较上月下降1BP；过去六个月投资收益为1.20%，较上月下降8BP。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2658745"/>
                  <wp:effectExtent l="0" t="0" r="6350" b="825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过去三个月投资收益为0.65%，较上月环比下降2BP；过去六个月投资收益达1.09%，较上月下降7BP。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过去三个月投资收益为0.84%，较上月下降1BP；过去六个月投资收益达1.22%，较上月下降11BP。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过去三个月投资收益为0.95%，较上月环比持平；过去六个月投资收益达1.42%，较上月环比下降9BP。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61FDC5E4">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1月份，短期、中期国债和短、中期AAA企业债到期收益率均有所上升。具体来看，1月27日，6个月国债到期收益率为1.33%，较上月环比上升31.15BP；1年期国债到期收益率为1.28%，环比上升17.29BP。6个月AAA企业债和1年期AAA企业债到期收益率均为1.85%，分别环比下上升20.79BP、14.63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29200" cy="2541270"/>
                  <wp:effectExtent l="4445" t="4445" r="14605" b="6985"/>
                  <wp:docPr id="1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1月份，2年期国债和AAA企业债到期收益率上升，10年期国债和AAA企业债到期收益率下降。具体来看，1月27日，2年期国债和2年期AAA企业债到期收益率分别为1.27%、1.85%，较12月底分别环比上升10.91BP、11.00BP。10年期国债和10年期AAA企业债到期收益率分别为</w:t>
      </w:r>
      <w:r>
        <w:rPr>
          <w:rFonts w:hint="eastAsia" w:ascii="楷体" w:hAnsi="楷体" w:eastAsia="楷体" w:cs="楷体"/>
          <w:color w:val="000000" w:themeColor="text1"/>
          <w:sz w:val="24"/>
          <w:highlight w:val="none"/>
          <w14:textFill>
            <w14:solidFill>
              <w14:schemeClr w14:val="tx1"/>
            </w14:solidFill>
          </w14:textFill>
        </w:rPr>
        <w:t>1.63</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w:t>
      </w:r>
      <w:r>
        <w:rPr>
          <w:rFonts w:hint="eastAsia" w:ascii="楷体" w:hAnsi="楷体" w:eastAsia="楷体" w:cs="楷体"/>
          <w:color w:val="000000" w:themeColor="text1"/>
          <w:sz w:val="24"/>
          <w:highlight w:val="none"/>
          <w14:textFill>
            <w14:solidFill>
              <w14:schemeClr w14:val="tx1"/>
            </w14:solidFill>
          </w14:textFill>
        </w:rPr>
        <w:t>2.02</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%，较12月底分别环比下降</w:t>
      </w:r>
      <w:r>
        <w:rPr>
          <w:rFonts w:hint="eastAsia" w:ascii="楷体" w:hAnsi="楷体" w:eastAsia="楷体" w:cs="楷体"/>
          <w:color w:val="000000" w:themeColor="text1"/>
          <w:sz w:val="24"/>
          <w:highlight w:val="none"/>
          <w14:textFill>
            <w14:solidFill>
              <w14:schemeClr w14:val="tx1"/>
            </w14:solidFill>
          </w14:textFill>
        </w:rPr>
        <w:t>4.45</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BP、</w:t>
      </w:r>
      <w:r>
        <w:rPr>
          <w:rFonts w:hint="eastAsia" w:ascii="楷体" w:hAnsi="楷体" w:eastAsia="楷体" w:cs="楷体"/>
          <w:color w:val="000000" w:themeColor="text1"/>
          <w:sz w:val="24"/>
          <w:highlight w:val="none"/>
          <w14:textFill>
            <w14:solidFill>
              <w14:schemeClr w14:val="tx1"/>
            </w14:solidFill>
          </w14:textFill>
        </w:rPr>
        <w:t>11.93</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73650" cy="2708910"/>
                  <wp:effectExtent l="4445" t="4445" r="8255" b="10795"/>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略有下降</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2025年1月，全国银行理财市场现金管理类产品收益指数整体延续下行趋势，截至2025年1月27日，全国银行理财市场现金管理类产品收益指数为59.18，较上月环比下降0.11点，较基期下降40.82点。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涨幅放缓</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1</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108.48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 xml:space="preserve">上升0.17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涨幅0.16%</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8.48</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8.48%</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0.16%</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0.76%</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1.20%</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1720850</wp:posOffset>
                  </wp:positionH>
                  <wp:positionV relativeFrom="paragraph">
                    <wp:posOffset>106045</wp:posOffset>
                  </wp:positionV>
                  <wp:extent cx="2047875" cy="533400"/>
                  <wp:effectExtent l="0" t="0" r="9525" b="0"/>
                  <wp:wrapNone/>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分期限来看，1</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 xml:space="preserve">108.04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 xml:space="preserve">上升0.17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涨幅0.16%</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8.04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8.04%；中期固收类产品收益指数为108.82 点，环比上升0.17 点，环比涨幅0.16%，指数较基期上升8.82点，增长8.82%；长期固收类产品收益指数为109.11 点，环比上升0.18 点，环比涨幅0.17%，指数较基期上升9.11点，增长9.11%。</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1.09%</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0.84%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1.22%</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0.95%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1.42%</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bookmarkStart w:id="1" w:name="_GoBack"/>
            <w:r>
              <w:drawing>
                <wp:inline distT="0" distB="0" distL="114300" distR="114300">
                  <wp:extent cx="5154295" cy="2848610"/>
                  <wp:effectExtent l="4445" t="4445" r="22860" b="23495"/>
                  <wp:docPr id="1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bookmarkEnd w:id="1"/>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6921F6"/>
    <w:rsid w:val="05761C29"/>
    <w:rsid w:val="05AE4F1A"/>
    <w:rsid w:val="0600190E"/>
    <w:rsid w:val="062475CD"/>
    <w:rsid w:val="062A3A78"/>
    <w:rsid w:val="063442C2"/>
    <w:rsid w:val="06510766"/>
    <w:rsid w:val="06733F4B"/>
    <w:rsid w:val="06AA75E4"/>
    <w:rsid w:val="06AA76A8"/>
    <w:rsid w:val="06C56765"/>
    <w:rsid w:val="06DA5F06"/>
    <w:rsid w:val="06E124E4"/>
    <w:rsid w:val="0708721D"/>
    <w:rsid w:val="079C2696"/>
    <w:rsid w:val="07A77994"/>
    <w:rsid w:val="07BB67DE"/>
    <w:rsid w:val="08497AA2"/>
    <w:rsid w:val="08860919"/>
    <w:rsid w:val="08B60D54"/>
    <w:rsid w:val="08DC39E0"/>
    <w:rsid w:val="08DC6494"/>
    <w:rsid w:val="08EE6E9A"/>
    <w:rsid w:val="08FC6215"/>
    <w:rsid w:val="09150170"/>
    <w:rsid w:val="096D4E25"/>
    <w:rsid w:val="09843C8B"/>
    <w:rsid w:val="098D41AA"/>
    <w:rsid w:val="098E7F5A"/>
    <w:rsid w:val="09B94653"/>
    <w:rsid w:val="0A22765F"/>
    <w:rsid w:val="0A2C5FB6"/>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7A0AA7"/>
    <w:rsid w:val="0F8356F6"/>
    <w:rsid w:val="0FC226D4"/>
    <w:rsid w:val="0FD86B39"/>
    <w:rsid w:val="0FEE78F2"/>
    <w:rsid w:val="10B94DCF"/>
    <w:rsid w:val="10CA514A"/>
    <w:rsid w:val="10E50428"/>
    <w:rsid w:val="11266B4B"/>
    <w:rsid w:val="11D24026"/>
    <w:rsid w:val="124F3540"/>
    <w:rsid w:val="129B3B91"/>
    <w:rsid w:val="12A01271"/>
    <w:rsid w:val="130A3724"/>
    <w:rsid w:val="13132ED5"/>
    <w:rsid w:val="13C124B3"/>
    <w:rsid w:val="13C32DA1"/>
    <w:rsid w:val="142F0E9B"/>
    <w:rsid w:val="14342E34"/>
    <w:rsid w:val="1480391E"/>
    <w:rsid w:val="14C70887"/>
    <w:rsid w:val="14EB1F91"/>
    <w:rsid w:val="14F92001"/>
    <w:rsid w:val="153222F7"/>
    <w:rsid w:val="1570073A"/>
    <w:rsid w:val="160F2852"/>
    <w:rsid w:val="1687464A"/>
    <w:rsid w:val="16BD48EF"/>
    <w:rsid w:val="16FE1B4A"/>
    <w:rsid w:val="170553D9"/>
    <w:rsid w:val="17377504"/>
    <w:rsid w:val="178A26E7"/>
    <w:rsid w:val="17AA5239"/>
    <w:rsid w:val="17AD010A"/>
    <w:rsid w:val="17E5123B"/>
    <w:rsid w:val="17F2366E"/>
    <w:rsid w:val="18110147"/>
    <w:rsid w:val="1835785D"/>
    <w:rsid w:val="183B6476"/>
    <w:rsid w:val="183C0109"/>
    <w:rsid w:val="188B5D59"/>
    <w:rsid w:val="18952734"/>
    <w:rsid w:val="189964EA"/>
    <w:rsid w:val="18B52DD6"/>
    <w:rsid w:val="18F90150"/>
    <w:rsid w:val="1916056B"/>
    <w:rsid w:val="19196A17"/>
    <w:rsid w:val="198354F2"/>
    <w:rsid w:val="19E37072"/>
    <w:rsid w:val="19FB0CBC"/>
    <w:rsid w:val="19FE5CD3"/>
    <w:rsid w:val="1ABA058B"/>
    <w:rsid w:val="1AC67C71"/>
    <w:rsid w:val="1AF52BBE"/>
    <w:rsid w:val="1B1F1786"/>
    <w:rsid w:val="1B3664EA"/>
    <w:rsid w:val="1B4A42F7"/>
    <w:rsid w:val="1BD83EBC"/>
    <w:rsid w:val="1C2002E2"/>
    <w:rsid w:val="1C2F49B6"/>
    <w:rsid w:val="1CA034BD"/>
    <w:rsid w:val="1CE65B87"/>
    <w:rsid w:val="1CFC7225"/>
    <w:rsid w:val="1D137896"/>
    <w:rsid w:val="1D4D37B5"/>
    <w:rsid w:val="1D5C5C9E"/>
    <w:rsid w:val="1DC60161"/>
    <w:rsid w:val="1DEC0A26"/>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617F9F"/>
    <w:rsid w:val="21EC5EE5"/>
    <w:rsid w:val="21FB590E"/>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12740"/>
    <w:rsid w:val="33C601DE"/>
    <w:rsid w:val="340139AD"/>
    <w:rsid w:val="34140EA1"/>
    <w:rsid w:val="343E7C43"/>
    <w:rsid w:val="3474249F"/>
    <w:rsid w:val="34B54E13"/>
    <w:rsid w:val="34D5292D"/>
    <w:rsid w:val="352C1FEF"/>
    <w:rsid w:val="35462FD0"/>
    <w:rsid w:val="35590699"/>
    <w:rsid w:val="3564585C"/>
    <w:rsid w:val="35E82D0F"/>
    <w:rsid w:val="363E0065"/>
    <w:rsid w:val="366A57EF"/>
    <w:rsid w:val="367C3A34"/>
    <w:rsid w:val="36C56482"/>
    <w:rsid w:val="37136C8A"/>
    <w:rsid w:val="3724042E"/>
    <w:rsid w:val="373E370A"/>
    <w:rsid w:val="376B0D44"/>
    <w:rsid w:val="377655FB"/>
    <w:rsid w:val="3819071C"/>
    <w:rsid w:val="38415FDC"/>
    <w:rsid w:val="38746B20"/>
    <w:rsid w:val="38C8225A"/>
    <w:rsid w:val="38D20CF3"/>
    <w:rsid w:val="38E33FD5"/>
    <w:rsid w:val="38ED43C7"/>
    <w:rsid w:val="39636982"/>
    <w:rsid w:val="39795DE8"/>
    <w:rsid w:val="39914FE8"/>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132AC3"/>
    <w:rsid w:val="403456B7"/>
    <w:rsid w:val="408110D3"/>
    <w:rsid w:val="40877B6A"/>
    <w:rsid w:val="40BD3B3B"/>
    <w:rsid w:val="40C41E8A"/>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A21686"/>
    <w:rsid w:val="42F073B3"/>
    <w:rsid w:val="431935EC"/>
    <w:rsid w:val="437870AC"/>
    <w:rsid w:val="43B9721F"/>
    <w:rsid w:val="43E4263E"/>
    <w:rsid w:val="444E7AB7"/>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A7FE0"/>
    <w:rsid w:val="4EB1725D"/>
    <w:rsid w:val="4ECE73F3"/>
    <w:rsid w:val="4ED41501"/>
    <w:rsid w:val="4F2558B8"/>
    <w:rsid w:val="4F307BED"/>
    <w:rsid w:val="4F3757CB"/>
    <w:rsid w:val="4F847CE4"/>
    <w:rsid w:val="50273B59"/>
    <w:rsid w:val="502C3D52"/>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C38E1"/>
    <w:rsid w:val="55AD7B9E"/>
    <w:rsid w:val="55AF05D2"/>
    <w:rsid w:val="55E32420"/>
    <w:rsid w:val="56395FD4"/>
    <w:rsid w:val="56EF2C36"/>
    <w:rsid w:val="56FE5CEA"/>
    <w:rsid w:val="574C1A20"/>
    <w:rsid w:val="575A3A43"/>
    <w:rsid w:val="575D270F"/>
    <w:rsid w:val="58224769"/>
    <w:rsid w:val="583F45D6"/>
    <w:rsid w:val="586E207E"/>
    <w:rsid w:val="58867311"/>
    <w:rsid w:val="58B44857"/>
    <w:rsid w:val="590B3D71"/>
    <w:rsid w:val="59715A50"/>
    <w:rsid w:val="599A4A48"/>
    <w:rsid w:val="59AD61D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3839F8"/>
    <w:rsid w:val="61922529"/>
    <w:rsid w:val="61AF4EC6"/>
    <w:rsid w:val="61E16E01"/>
    <w:rsid w:val="621974FF"/>
    <w:rsid w:val="626B6941"/>
    <w:rsid w:val="628420FD"/>
    <w:rsid w:val="628726BA"/>
    <w:rsid w:val="62A25D33"/>
    <w:rsid w:val="62B71C5C"/>
    <w:rsid w:val="62D41677"/>
    <w:rsid w:val="62F251EC"/>
    <w:rsid w:val="6341380F"/>
    <w:rsid w:val="63A147E3"/>
    <w:rsid w:val="63DF1BA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12481A"/>
    <w:rsid w:val="6758477E"/>
    <w:rsid w:val="67C3525E"/>
    <w:rsid w:val="67F00EBC"/>
    <w:rsid w:val="68535CA7"/>
    <w:rsid w:val="687F5CCC"/>
    <w:rsid w:val="68C873DC"/>
    <w:rsid w:val="68F128B4"/>
    <w:rsid w:val="693C5C0C"/>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445903"/>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8454752"/>
    <w:rsid w:val="78486651"/>
    <w:rsid w:val="784A5E71"/>
    <w:rsid w:val="785B21C7"/>
    <w:rsid w:val="786A09B8"/>
    <w:rsid w:val="78C0202A"/>
    <w:rsid w:val="78C13AD5"/>
    <w:rsid w:val="78F458AA"/>
    <w:rsid w:val="78FE2B52"/>
    <w:rsid w:val="79F44681"/>
    <w:rsid w:val="7A2E0027"/>
    <w:rsid w:val="7A560E98"/>
    <w:rsid w:val="7AD520AB"/>
    <w:rsid w:val="7ADD2D6F"/>
    <w:rsid w:val="7B115E66"/>
    <w:rsid w:val="7B164183"/>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3828;&#30427;&#24742;\&#24037;&#20316;&#20869;&#23481;\2024&#26032;&#29256;&#25351;&#25968;\2025&#24180;1&#26376;\2025&#24180;1&#26376;&#25351;&#25968;&#25968;&#25454;\&#22269;&#20538;&#20225;&#19994;&#20538;&#25910;&#30410;&#29575;-&#25130;&#33267;2024&#24180;12&#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3828;&#30427;&#24742;\&#24037;&#20316;&#20869;&#23481;\2024&#26032;&#29256;&#25351;&#25968;\2025&#24180;1&#26376;\2025&#24180;1&#26376;&#25351;&#25968;&#25968;&#25454;\&#22269;&#20538;&#20225;&#19994;&#20538;&#25910;&#30410;&#29575;-&#25130;&#33267;2024&#24180;12&#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F:\&#23828;&#30427;&#24742;\&#24037;&#20316;&#20869;&#23481;\2024&#26032;&#29256;&#25351;&#25968;\2025&#24180;1&#26376;\2025&#24180;1&#26376;&#25351;&#25968;&#25968;&#25454;\&#21306;&#22495;&#38134;&#34892;&#29702;&#36130;&#20135;&#21697;&#25351;&#25968;&#65288;202501&#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r>
              <a:rPr sz="108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rPr>
              <a:t>现金管理类产品近七日年化收益走势</a:t>
            </a:r>
            <a:endParaRPr lang="en-US" altLang="zh-CN" sz="108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endParaRPr>
          </a:p>
        </c:rich>
      </c:tx>
      <c:layout/>
      <c:overlay val="0"/>
      <c:spPr>
        <a:noFill/>
        <a:ln>
          <a:noFill/>
        </a:ln>
        <a:effectLst/>
      </c:spPr>
    </c:title>
    <c:autoTitleDeleted val="0"/>
    <c:plotArea>
      <c:layout/>
      <c:lineChart>
        <c:grouping val="standard"/>
        <c:varyColors val="0"/>
        <c:ser>
          <c:idx val="0"/>
          <c:order val="0"/>
          <c:tx>
            <c:strRef>
              <c:f>'[区域银行理财产品指数（202501）.xlsx]现金管理类指数'!$E$2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'[区域银行理财产品指数（202501）.xlsx]现金管理类指数'!$A$3:$A$754</c:f>
              <c:numCache>
                <c:formatCode>yyyy/m/d</c:formatCode>
                <c:ptCount val="752"/>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numCache>
            </c:numRef>
          </c:cat>
          <c:val>
            <c:numRef>
              <c:f>'[区域银行理财产品指数（202501）.xlsx]现金管理类指数'!$E$3:$E$754</c:f>
              <c:numCache>
                <c:formatCode>0.00_ </c:formatCode>
                <c:ptCount val="752"/>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majorUnit val="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'[区域银行理财产品指数（202501）.xlsx]固收类产品指数'!$M$2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'[区域银行理财产品指数（202501）.xlsx]固收类产品指数'!$A$3:$A$40</c:f>
              <c:numCache>
                <c:formatCode>yyyy"年"m"月";@</c:formatCode>
                <c:ptCount val="38"/>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numCache>
            </c:numRef>
          </c:cat>
          <c:val>
            <c:numRef>
              <c:f>'[区域银行理财产品指数（202501）.xlsx]固收类产品指数'!$M$3:$M$40</c:f>
              <c:numCache>
                <c:formatCode>0.00_);[Red]\(0.00\)</c:formatCode>
                <c:ptCount val="38"/>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numCache>
            </c:numRef>
          </c:val>
          <c:smooth val="0"/>
        </c:ser>
        <c:ser>
          <c:idx val="1"/>
          <c:order val="1"/>
          <c:tx>
            <c:strRef>
              <c:f>'[区域银行理财产品指数（202501）.xlsx]固收类产品指数'!$N$2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'[区域银行理财产品指数（202501）.xlsx]固收类产品指数'!$A$3:$A$40</c:f>
              <c:numCache>
                <c:formatCode>yyyy"年"m"月";@</c:formatCode>
                <c:ptCount val="38"/>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numCache>
            </c:numRef>
          </c:cat>
          <c:val>
            <c:numRef>
              <c:f>'[区域银行理财产品指数（202501）.xlsx]固收类产品指数'!$N$3:$N$40</c:f>
              <c:numCache>
                <c:formatCode>0.00_);[Red]\(0.00\)</c:formatCode>
                <c:ptCount val="38"/>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numCache>
            </c:numRef>
          </c:val>
          <c:smooth val="0"/>
        </c:ser>
        <c:ser>
          <c:idx val="2"/>
          <c:order val="2"/>
          <c:tx>
            <c:strRef>
              <c:f>'[区域银行理财产品指数（202501）.xlsx]固收类产品指数'!$O$2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'[区域银行理财产品指数（202501）.xlsx]固收类产品指数'!$A$3:$A$40</c:f>
              <c:numCache>
                <c:formatCode>yyyy"年"m"月";@</c:formatCode>
                <c:ptCount val="38"/>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numCache>
            </c:numRef>
          </c:cat>
          <c:val>
            <c:numRef>
              <c:f>'[区域银行理财产品指数（202501）.xlsx]固收类产品指数'!$O$3:$O$40</c:f>
              <c:numCache>
                <c:formatCode>0.00_);[Red]\(0.00\)</c:formatCode>
                <c:ptCount val="38"/>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numCache>
            </c:numRef>
          </c:val>
          <c:smooth val="0"/>
        </c:ser>
        <c:ser>
          <c:idx val="3"/>
          <c:order val="3"/>
          <c:tx>
            <c:strRef>
              <c:f>'[区域银行理财产品指数（202501）.xlsx]固收类产品指数'!$P$2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'[区域银行理财产品指数（202501）.xlsx]固收类产品指数'!$A$3:$A$40</c:f>
              <c:numCache>
                <c:formatCode>yyyy"年"m"月";@</c:formatCode>
                <c:ptCount val="38"/>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numCache>
            </c:numRef>
          </c:cat>
          <c:val>
            <c:numRef>
              <c:f>'[区域银行理财产品指数（202501）.xlsx]固收类产品指数'!$P$3:$P$40</c:f>
              <c:numCache>
                <c:formatCode>0.00_);[Red]\(0.00\)</c:formatCode>
                <c:ptCount val="38"/>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'[区域银行理财产品指数（202501）.xlsx]固收类产品指数'!$W$2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'[区域银行理财产品指数（202501）.xlsx]固收类产品指数'!$W$35:$W$40</c:f>
              <c:numCache>
                <c:formatCode>0.00%</c:formatCode>
                <c:ptCount val="6"/>
                <c:pt idx="0">
                  <c:v>0.0057267783602064</c:v>
                </c:pt>
                <c:pt idx="1">
                  <c:v>0.00503952550297968</c:v>
                </c:pt>
                <c:pt idx="2">
                  <c:v>0.00432137503436013</c:v>
                </c:pt>
                <c:pt idx="3">
                  <c:v>0.00614598565650417</c:v>
                </c:pt>
                <c:pt idx="4">
                  <c:v>0.0077217901631165</c:v>
                </c:pt>
                <c:pt idx="5">
                  <c:v>0.00761761327308885</c:v>
                </c:pt>
              </c:numCache>
            </c:numRef>
          </c:val>
        </c:ser>
        <c:ser>
          <c:idx val="1"/>
          <c:order val="1"/>
          <c:tx>
            <c:strRef>
              <c:f>'[区域银行理财产品指数（202501）.xlsx]固收类产品指数'!$X$2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'[区域银行理财产品指数（202501）.xlsx]固收类产品指数'!$X$35:$X$40</c:f>
              <c:numCache>
                <c:formatCode>0.00%</c:formatCode>
                <c:ptCount val="6"/>
                <c:pt idx="0">
                  <c:v>0.0133668926367203</c:v>
                </c:pt>
                <c:pt idx="1">
                  <c:v>0.0128572530541808</c:v>
                </c:pt>
                <c:pt idx="2">
                  <c:v>0.0117594922341041</c:v>
                </c:pt>
                <c:pt idx="3">
                  <c:v>0.0119079607143704</c:v>
                </c:pt>
                <c:pt idx="4">
                  <c:v>0.0128002298245519</c:v>
                </c:pt>
                <c:pt idx="5">
                  <c:v>0.0119719068712687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'[区域银行理财产品指数（202501）.xlsx]固收类产品指数'!$Q$2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'[区域银行理财产品指数（202501）.xlsx]固收类产品指数'!$Q$35:$Q$40</c:f>
              <c:numCache>
                <c:formatCode>0.00%</c:formatCode>
                <c:ptCount val="6"/>
                <c:pt idx="0">
                  <c:v>0.00567579264220157</c:v>
                </c:pt>
                <c:pt idx="1">
                  <c:v>0.0048979247486739</c:v>
                </c:pt>
                <c:pt idx="2">
                  <c:v>0.00434636740719041</c:v>
                </c:pt>
                <c:pt idx="3">
                  <c:v>0.00545674724335767</c:v>
                </c:pt>
                <c:pt idx="4">
                  <c:v>0.0066629552077762</c:v>
                </c:pt>
                <c:pt idx="5">
                  <c:v>0.00651021671340643</c:v>
                </c:pt>
              </c:numCache>
            </c:numRef>
          </c:val>
        </c:ser>
        <c:ser>
          <c:idx val="1"/>
          <c:order val="1"/>
          <c:tx>
            <c:strRef>
              <c:f>'[区域银行理财产品指数（202501）.xlsx]固收类产品指数'!$R$2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'[区域银行理财产品指数（202501）.xlsx]固收类产品指数'!$R$35:$R$40</c:f>
              <c:numCache>
                <c:formatCode>0.00%</c:formatCode>
                <c:ptCount val="6"/>
                <c:pt idx="0">
                  <c:v>0.0122401962073743</c:v>
                </c:pt>
                <c:pt idx="1">
                  <c:v>0.0117166758834914</c:v>
                </c:pt>
                <c:pt idx="2">
                  <c:v>0.011157729935446</c:v>
                </c:pt>
                <c:pt idx="3">
                  <c:v>0.0111635112514134</c:v>
                </c:pt>
                <c:pt idx="4">
                  <c:v>0.0115935146096616</c:v>
                </c:pt>
                <c:pt idx="5">
                  <c:v>0.0108848799143337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'[区域银行理财产品指数（202501）.xlsx]固收类产品指数'!$S$2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'[区域银行理财产品指数（202501）.xlsx]固收类产品指数'!$S$35:$S$40</c:f>
              <c:numCache>
                <c:formatCode>0.00%</c:formatCode>
                <c:ptCount val="6"/>
                <c:pt idx="0">
                  <c:v>0.00588391088885566</c:v>
                </c:pt>
                <c:pt idx="1">
                  <c:v>0.00477711870465284</c:v>
                </c:pt>
                <c:pt idx="2">
                  <c:v>0.0037546028193657</c:v>
                </c:pt>
                <c:pt idx="3">
                  <c:v>0.00624210366978846</c:v>
                </c:pt>
                <c:pt idx="4">
                  <c:v>0.0084636870323362</c:v>
                </c:pt>
                <c:pt idx="5">
                  <c:v>0.00839590082591991</c:v>
                </c:pt>
              </c:numCache>
            </c:numRef>
          </c:val>
        </c:ser>
        <c:ser>
          <c:idx val="1"/>
          <c:order val="1"/>
          <c:tx>
            <c:strRef>
              <c:f>'[区域银行理财产品指数（202501）.xlsx]固收类产品指数'!$T$2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'[区域银行理财产品指数（202501）.xlsx]固收类产品指数'!$T$35:$T$40</c:f>
              <c:numCache>
                <c:formatCode>0.00%</c:formatCode>
                <c:ptCount val="6"/>
                <c:pt idx="0">
                  <c:v>0.0137064049774742</c:v>
                </c:pt>
                <c:pt idx="1">
                  <c:v>0.0129192800350633</c:v>
                </c:pt>
                <c:pt idx="2">
                  <c:v>0.0117162540487179</c:v>
                </c:pt>
                <c:pt idx="3">
                  <c:v>0.0121627425403961</c:v>
                </c:pt>
                <c:pt idx="4">
                  <c:v>0.0132812377746215</c:v>
                </c:pt>
                <c:pt idx="5">
                  <c:v>0.0121820269181977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'[区域银行理财产品指数（202501）.xlsx]固收类产品指数'!$U$2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'[区域银行理财产品指数（202501）.xlsx]固收类产品指数'!$U$35:$U$40</c:f>
              <c:numCache>
                <c:formatCode>0.00%</c:formatCode>
                <c:ptCount val="6"/>
                <c:pt idx="0">
                  <c:v>0.00569849057423043</c:v>
                </c:pt>
                <c:pt idx="1">
                  <c:v>0.00548749308459952</c:v>
                </c:pt>
                <c:pt idx="2">
                  <c:v>0.00462366238625962</c:v>
                </c:pt>
                <c:pt idx="3">
                  <c:v>0.00755972045800749</c:v>
                </c:pt>
                <c:pt idx="4">
                  <c:v>0.00956149365448149</c:v>
                </c:pt>
                <c:pt idx="5">
                  <c:v>0.00953824274168272</c:v>
                </c:pt>
              </c:numCache>
            </c:numRef>
          </c:val>
        </c:ser>
        <c:ser>
          <c:idx val="1"/>
          <c:order val="1"/>
          <c:tx>
            <c:strRef>
              <c:f>'[区域银行理财产品指数（202501）.xlsx]固收类产品指数'!$V$2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'[区域银行理财产品指数（202501）.xlsx]固收类产品指数'!$A$35:$A$40</c:f>
              <c:numCache>
                <c:formatCode>yyyy"年"m"月";@</c:formatCode>
                <c:ptCount val="6"/>
                <c:pt idx="0" c:formatCode="yyyy&quot;年&quot;m&quot;月&quot;;@">
                  <c:v>45506</c:v>
                </c:pt>
                <c:pt idx="1" c:formatCode="yyyy&quot;年&quot;m&quot;月&quot;;@">
                  <c:v>45537</c:v>
                </c:pt>
                <c:pt idx="2" c:formatCode="yyyy&quot;年&quot;m&quot;月&quot;;@">
                  <c:v>45567</c:v>
                </c:pt>
                <c:pt idx="3" c:formatCode="yyyy&quot;年&quot;m&quot;月&quot;;@">
                  <c:v>45598</c:v>
                </c:pt>
                <c:pt idx="4" c:formatCode="yyyy&quot;年&quot;m&quot;月&quot;;@">
                  <c:v>45628</c:v>
                </c:pt>
                <c:pt idx="5" c:formatCode="yyyy&quot;年&quot;m&quot;月&quot;;@">
                  <c:v>45658</c:v>
                </c:pt>
              </c:numCache>
            </c:numRef>
          </c:cat>
          <c:val>
            <c:numRef>
              <c:f>'[区域银行理财产品指数（202501）.xlsx]固收类产品指数'!$V$35:$V$40</c:f>
              <c:numCache>
                <c:formatCode>0.00%</c:formatCode>
                <c:ptCount val="6"/>
                <c:pt idx="0">
                  <c:v>0.0152181582040407</c:v>
                </c:pt>
                <c:pt idx="1">
                  <c:v>0.0150055978405136</c:v>
                </c:pt>
                <c:pt idx="2">
                  <c:v>0.0129568656113023</c:v>
                </c:pt>
                <c:pt idx="3">
                  <c:v>0.0133012900280117</c:v>
                </c:pt>
                <c:pt idx="4">
                  <c:v>0.0151014553693884</c:v>
                </c:pt>
                <c:pt idx="5">
                  <c:v>0.0142060067421381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'[国债企业债收益率-截至2024年12月.xls]Sheet0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'[国债企业债收益率-截至2024年12月.xls]Sheet0 (2)'!$A$222:$A$995</c:f>
              <c:strCache>
                <c:ptCount val="7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strCache>
            </c:strRef>
          </c:cat>
          <c:val>
            <c:numRef>
              <c:f>'[国债企业债收益率-截至2024年12月.xls]Sheet0 (2)'!$B$222:$B$995</c:f>
              <c:numCache>
                <c:formatCode>#,##0.00_ </c:formatCode>
                <c:ptCount val="774"/>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numCache>
            </c:numRef>
          </c:val>
          <c:smooth val="0"/>
        </c:ser>
        <c:ser>
          <c:idx val="1"/>
          <c:order val="1"/>
          <c:tx>
            <c:strRef>
              <c:f>'[国债企业债收益率-截至2024年12月.xls]Sheet0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'[国债企业债收益率-截至2024年12月.xls]Sheet0 (2)'!$A$222:$A$995</c:f>
              <c:strCache>
                <c:ptCount val="7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strCache>
            </c:strRef>
          </c:cat>
          <c:val>
            <c:numRef>
              <c:f>'[国债企业债收益率-截至2024年12月.xls]Sheet0 (2)'!$C$222:$C$995</c:f>
              <c:numCache>
                <c:formatCode>#,##0.00_ </c:formatCode>
                <c:ptCount val="774"/>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numCache>
            </c:numRef>
          </c:val>
          <c:smooth val="0"/>
        </c:ser>
        <c:ser>
          <c:idx val="2"/>
          <c:order val="2"/>
          <c:tx>
            <c:strRef>
              <c:f>'[国债企业债收益率-截至2024年12月.xls]Sheet0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'[国债企业债收益率-截至2024年12月.xls]Sheet0 (2)'!$A$222:$A$995</c:f>
              <c:strCache>
                <c:ptCount val="7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strCache>
            </c:strRef>
          </c:cat>
          <c:val>
            <c:numRef>
              <c:f>'[国债企业债收益率-截至2024年12月.xls]Sheet0 (2)'!$D$222:$D$995</c:f>
              <c:numCache>
                <c:formatCode>#,##0.00_ </c:formatCode>
                <c:ptCount val="774"/>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numCache>
            </c:numRef>
          </c:val>
          <c:smooth val="0"/>
        </c:ser>
        <c:ser>
          <c:idx val="3"/>
          <c:order val="3"/>
          <c:tx>
            <c:strRef>
              <c:f>'[国债企业债收益率-截至2024年12月.xls]Sheet0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'[国债企业债收益率-截至2024年12月.xls]Sheet0 (2)'!$A$222:$A$995</c:f>
              <c:strCache>
                <c:ptCount val="77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strCache>
            </c:strRef>
          </c:cat>
          <c:val>
            <c:numRef>
              <c:f>'[国债企业债收益率-截至2024年12月.xls]Sheet0 (2)'!$E$222:$E$995</c:f>
              <c:numCache>
                <c:formatCode>#,##0.00_ </c:formatCode>
                <c:ptCount val="774"/>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numCache>
            </c:numRef>
          </c:val>
          <c:smooth val="0"/>
        </c:ser>
        <c:dLbls>
          <c:showLegendKey val="0"/>
          <c:showVal val="0"/>
          <c:showCatName val="0"/>
          <c:showSerName val="0"/>
          <c:showPercent val="0"/>
          <c:showBubbleSize val="0"/>
        </c:dLbls>
        <c:marker val="0"/>
        <c:smooth val="0"/>
        <c:axId val="749161723"/>
        <c:axId val="605120073"/>
      </c:lineChart>
      <c:dateAx>
        <c:axId val="749161723"/>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5120073"/>
        <c:crosses val="autoZero"/>
        <c:auto val="1"/>
        <c:lblAlgn val="ctr"/>
        <c:lblOffset val="100"/>
        <c:baseTimeUnit val="days"/>
      </c:dateAx>
      <c:valAx>
        <c:axId val="605120073"/>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49161723"/>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f67eb5d5-bd2d-496d-b07f-e063d266e4f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'[国债企业债收益率-截至2024年12月.xls]Sheet0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(2)'!$H$222:$H$977</c:f>
              <c:numCache>
                <c:formatCode>0.00_ </c:formatCode>
                <c:ptCount val="756"/>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numCache>
            </c:numRef>
          </c:val>
          <c:smooth val="0"/>
        </c:ser>
        <c:ser>
          <c:idx val="1"/>
          <c:order val="1"/>
          <c:tx>
            <c:strRef>
              <c:f>'[国债企业债收益率-截至2024年12月.xls]Sheet0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(2)'!$I$222:$I$977</c:f>
              <c:numCache>
                <c:formatCode>0.00_ </c:formatCode>
                <c:ptCount val="756"/>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numCache>
            </c:numRef>
          </c:val>
          <c:smooth val="0"/>
        </c:ser>
        <c:ser>
          <c:idx val="2"/>
          <c:order val="2"/>
          <c:tx>
            <c:strRef>
              <c:f>'[国债企业债收益率-截至2024年12月.xls]Sheet0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(2)'!$J$222:$J$977</c:f>
              <c:numCache>
                <c:formatCode>0.00_ </c:formatCode>
                <c:ptCount val="756"/>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numCache>
            </c:numRef>
          </c:val>
          <c:smooth val="0"/>
        </c:ser>
        <c:ser>
          <c:idx val="3"/>
          <c:order val="3"/>
          <c:tx>
            <c:strRef>
              <c:f>'[国债企业债收益率-截至2024年12月.xls]Sheet0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(2)'!$K$222:$K$977</c:f>
              <c:numCache>
                <c:formatCode>0.00_ </c:formatCode>
                <c:ptCount val="756"/>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numCache>
            </c:numRef>
          </c:val>
          <c:smooth val="0"/>
        </c:ser>
        <c:dLbls>
          <c:showLegendKey val="0"/>
          <c:showVal val="0"/>
          <c:showCatName val="0"/>
          <c:showSerName val="0"/>
          <c:showPercent val="0"/>
          <c:showBubbleSize val="0"/>
        </c:dLbls>
        <c:marker val="0"/>
        <c:smooth val="0"/>
        <c:axId val="73260449"/>
        <c:axId val="98094871"/>
      </c:lineChart>
      <c:catAx>
        <c:axId val="7326044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8094871"/>
        <c:crosses val="autoZero"/>
        <c:auto val="1"/>
        <c:lblAlgn val="ctr"/>
        <c:lblOffset val="100"/>
        <c:tickLblSkip val="50"/>
        <c:noMultiLvlLbl val="0"/>
      </c:catAx>
      <c:valAx>
        <c:axId val="98094871"/>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3260449"/>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83c8f99f-9ae5-4b97-882f-da569775f62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'[区域银行理财产品指数（202501）.xlsx]现金管理类指数'!$H$2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'[区域银行理财产品指数（202501）.20250212111536759.xlsx]现金管理类指数'!$A$3:$A$754</c:f>
              <c:numCache>
                <c:formatCode>yyyy/m/d</c:formatCode>
                <c:ptCount val="752"/>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numCache>
            </c:numRef>
          </c:cat>
          <c:val>
            <c:numRef>
              <c:f>'[区域银行理财产品指数（202501）.20250212111536759.xlsx]现金管理类指数'!$H$3:$H$754</c:f>
              <c:numCache>
                <c:formatCode>General</c:formatCode>
                <c:ptCount val="752"/>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61.6764149542531</c:v>
                </c:pt>
                <c:pt idx="654" c:formatCode="0.00_ ">
                  <c:v>61.5217598842859</c:v>
                </c:pt>
                <c:pt idx="655" c:formatCode="0.00_ ">
                  <c:v>61.4981286807701</c:v>
                </c:pt>
                <c:pt idx="656" c:formatCode="0.00_ ">
                  <c:v>61.504895086156</c:v>
                </c:pt>
                <c:pt idx="657" c:formatCode="0.00_ ">
                  <c:v>61.3755862814176</c:v>
                </c:pt>
                <c:pt idx="658" c:formatCode="0.00_ ">
                  <c:v>61.2326171434677</c:v>
                </c:pt>
                <c:pt idx="659" c:formatCode="0.00_ ">
                  <c:v>60.6556045490574</c:v>
                </c:pt>
                <c:pt idx="660" c:formatCode="0.00_ ">
                  <c:v>60.827961389009</c:v>
                </c:pt>
                <c:pt idx="661" c:formatCode="0.00_ ">
                  <c:v>60.8072225731899</c:v>
                </c:pt>
                <c:pt idx="662" c:formatCode="0.00_ ">
                  <c:v>61.1508166166669</c:v>
                </c:pt>
                <c:pt idx="663" c:formatCode="0.00_ ">
                  <c:v>61.098265271995</c:v>
                </c:pt>
                <c:pt idx="664" c:formatCode="0.00_ ">
                  <c:v>60.4426411061724</c:v>
                </c:pt>
                <c:pt idx="665" c:formatCode="0.00_ ">
                  <c:v>60.4108024260724</c:v>
                </c:pt>
                <c:pt idx="666" c:formatCode="0.00_ ">
                  <c:v>60.6099241021391</c:v>
                </c:pt>
                <c:pt idx="667" c:formatCode="0.00_ ">
                  <c:v>60.758584095427</c:v>
                </c:pt>
                <c:pt idx="668" c:formatCode="0.00_ ">
                  <c:v>60.9480635246973</c:v>
                </c:pt>
                <c:pt idx="669" c:formatCode="0.00_ ">
                  <c:v>61.0160189441864</c:v>
                </c:pt>
                <c:pt idx="670" c:formatCode="0.00_ ">
                  <c:v>61.1718733277422</c:v>
                </c:pt>
                <c:pt idx="671" c:formatCode="0.00_ ">
                  <c:v>61.3026782560219</c:v>
                </c:pt>
                <c:pt idx="672" c:formatCode="0.00_ ">
                  <c:v>62.9126235543092</c:v>
                </c:pt>
                <c:pt idx="673" c:formatCode="0.00_ ">
                  <c:v>61.3247281784147</c:v>
                </c:pt>
                <c:pt idx="674" c:formatCode="0.00_ ">
                  <c:v>61.9114848127696</c:v>
                </c:pt>
                <c:pt idx="675" c:formatCode="0.00_ ">
                  <c:v>62.3133251795472</c:v>
                </c:pt>
                <c:pt idx="676" c:formatCode="0.00_ ">
                  <c:v>62.6681942693644</c:v>
                </c:pt>
                <c:pt idx="677" c:formatCode="0.00_ ">
                  <c:v>62.7188838307977</c:v>
                </c:pt>
                <c:pt idx="678" c:formatCode="0.00_ ">
                  <c:v>62.189477943544</c:v>
                </c:pt>
                <c:pt idx="679" c:formatCode="0.00_ ">
                  <c:v>61.9898915221086</c:v>
                </c:pt>
                <c:pt idx="680" c:formatCode="0.00_ ">
                  <c:v>61.7311045632536</c:v>
                </c:pt>
                <c:pt idx="681" c:formatCode="0.00_ ">
                  <c:v>61.8499426673128</c:v>
                </c:pt>
                <c:pt idx="682" c:formatCode="0.00_ ">
                  <c:v>60.7763393444619</c:v>
                </c:pt>
                <c:pt idx="683" c:formatCode="0.00_ ">
                  <c:v>60.5990295738602</c:v>
                </c:pt>
                <c:pt idx="684" c:formatCode="0.00_ ">
                  <c:v>60.3245291811228</c:v>
                </c:pt>
                <c:pt idx="685" c:formatCode="0.00_ ">
                  <c:v>60.3340232869603</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59.1112844659957</c:v>
                </c:pt>
                <c:pt idx="735" c:formatCode="0.00_ ">
                  <c:v>59.5511743867906</c:v>
                </c:pt>
                <c:pt idx="736" c:formatCode="0.00_ ">
                  <c:v>59.03392949505</c:v>
                </c:pt>
                <c:pt idx="737" c:formatCode="0.00_ ">
                  <c:v>57.774594009149</c:v>
                </c:pt>
                <c:pt idx="738" c:formatCode="0.00_ ">
                  <c:v>57.5431525358016</c:v>
                </c:pt>
                <c:pt idx="739" c:formatCode="0.00_ ">
                  <c:v>57.994298444384</c:v>
                </c:pt>
                <c:pt idx="740" c:formatCode="0.00_ ">
                  <c:v>57.5676797810203</c:v>
                </c:pt>
                <c:pt idx="741" c:formatCode="0.00_ ">
                  <c:v>57.1396389212715</c:v>
                </c:pt>
                <c:pt idx="742" c:formatCode="0.00_ ">
                  <c:v>56.2475724541124</c:v>
                </c:pt>
                <c:pt idx="743" c:formatCode="0.00_ ">
                  <c:v>56.059432151913</c:v>
                </c:pt>
                <c:pt idx="744" c:formatCode="0.00_ ">
                  <c:v>56.3402361155615</c:v>
                </c:pt>
                <c:pt idx="745" c:formatCode="0.00_ ">
                  <c:v>56.8305237778454</c:v>
                </c:pt>
                <c:pt idx="746" c:formatCode="0.00_ ">
                  <c:v>57.2733243839221</c:v>
                </c:pt>
                <c:pt idx="747" c:formatCode="0.00_ ">
                  <c:v>58.0169809234498</c:v>
                </c:pt>
                <c:pt idx="748" c:formatCode="0.00_ ">
                  <c:v>58.3012333531061</c:v>
                </c:pt>
                <c:pt idx="749" c:formatCode="0.00_ ">
                  <c:v>58.8971052801627</c:v>
                </c:pt>
                <c:pt idx="750" c:formatCode="0.00_ ">
                  <c:v>58.5833132854462</c:v>
                </c:pt>
                <c:pt idx="751" c:formatCode="0.00_ ">
                  <c:v>59.1846614549804</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'[区域银行理财产品指数（202501）.xlsx]固收整体'!$I$2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'[区域银行理财产品指数（202501）.20250212111536759.xlsx]固收整体'!$A$3:$A$40</c:f>
              <c:numCache>
                <c:formatCode>yyyy\-mm</c:formatCode>
                <c:ptCount val="38"/>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numCache>
            </c:numRef>
          </c:cat>
          <c:val>
            <c:numRef>
              <c:f>'[区域银行理财产品指数（202501）.20250212111536759.xlsx]固收整体'!$I$3:$I$40</c:f>
              <c:numCache>
                <c:formatCode>General</c:formatCode>
                <c:ptCount val="38"/>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'[区域银行理财产品指数（202501）.xlsx]固收整体'!$G$2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'[区域银行理财产品指数（202501）.20250212111536759.xlsx]固收整体'!$A$3:$A$40</c15:sqref>
                        </c15:formulaRef>
                      </c:ext>
                    </c:extLst>
                    <c:numCache>
                      <c:formatCode>yyyy\-mm</c:formatCode>
                      <c:ptCount val="38"/>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c15:sqref>
                        </c15:formulaRef>
                      </c:ext>
                    </c:extLst>
                    <c:numCache>
                      <c:formatCode>General</c:formatCode>
                      <c:ptCount val="38"/>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numCache>
                  </c:numRef>
                </c:val>
                <c:smooth val="0"/>
              </c15:ser>
            </c15:filteredLineSeries>
            <c15:filteredLineSeries>
              <c15:ser>
                <c:idx val="1"/>
                <c:order val="1"/>
                <c:tx>
                  <c:strRef>
                    <c:extLst>
                      <c:ext uri="{02D57815-91ED-43cb-92C2-25804820EDAC}">
                        <c15:formulaRef>
                          <c15:sqref>'[区域银行理财产品指数（202501）.xlsx]固收整体'!$H$2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'[区域银行理财产品指数（202501）.20250212111536759.xlsx]固收整体'!$A$3:$A$40</c15:sqref>
                        </c15:formulaRef>
                      </c:ext>
                    </c:extLst>
                    <c:numCache>
                      <c:formatCode>yyyy\-mm</c:formatCode>
                      <c:ptCount val="38"/>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c15:sqref>
                        </c15:formulaRef>
                      </c:ext>
                    </c:extLst>
                    <c:numCache>
                      <c:formatCode>General</c:formatCode>
                      <c:ptCount val="38"/>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3101</Words>
  <Characters>3758</Characters>
  <Lines>13</Lines>
  <Paragraphs>3</Paragraphs>
  <TotalTime>7</TotalTime>
  <ScaleCrop>false</ScaleCrop>
  <LinksUpToDate>false</LinksUpToDate>
  <CharactersWithSpaces>3773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2025-02-17T10:29:59Z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7DBF179259514D43BD085DEB5F9D385C_13</vt:lpwstr>
  </property>
  <property fmtid="{D5CDD505-2E9C-101B-9397-08002B2CF9AE}" pid="4" name="KSOTemplateDocerSaveRecord">
    <vt:lpwstr>eyJoZGlkIjoiYTExMWY2ZjM3YmY0YjMxNmQyODczMjdjN2RlMmEzMmEiLCJ1c2VySWQiOiI2Nzc0OTM1In0=</vt:lpwstr>
  </property>
</Properties>
</file>