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收益整体下行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1.26%</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整体下行</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截至2025年4月30日，全国现金管理类产品的平均近7日年化收益率为1.51%，较3月31日环比下降9BP，较基期下降130BP。4</w:t>
      </w:r>
      <w:r>
        <w:rPr>
          <w:rFonts w:hint="eastAsia" w:ascii="楷体" w:hAnsi="楷体" w:eastAsia="楷体" w:cs="楷体"/>
          <w:color w:val="auto"/>
          <w:sz w:val="24"/>
          <w:szCs w:val="24"/>
          <w:highlight w:val="none"/>
          <w:lang w:val="en-US"/>
        </w:rPr>
        <w:t>月</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资金利率</w:t>
      </w:r>
      <w:r>
        <w:rPr>
          <w:rFonts w:hint="eastAsia" w:ascii="楷体" w:hAnsi="楷体" w:eastAsia="楷体" w:cs="楷体"/>
          <w:color w:val="auto"/>
          <w:sz w:val="24"/>
          <w:szCs w:val="24"/>
          <w:highlight w:val="none"/>
          <w:lang w:val="en-US" w:eastAsia="zh-CN"/>
        </w:rPr>
        <w:t>均</w:t>
      </w:r>
      <w:r>
        <w:rPr>
          <w:rFonts w:hint="eastAsia" w:ascii="楷体" w:hAnsi="楷体" w:eastAsia="楷体" w:cs="楷体"/>
          <w:color w:val="auto"/>
          <w:sz w:val="24"/>
          <w:szCs w:val="24"/>
          <w:highlight w:val="none"/>
          <w:lang w:val="en-US"/>
        </w:rPr>
        <w:t>下行，且月初下行幅度整体相对较大</w:t>
      </w:r>
      <w:r>
        <w:rPr>
          <w:rFonts w:hint="eastAsia" w:ascii="楷体" w:hAnsi="楷体" w:eastAsia="楷体" w:cs="楷体"/>
          <w:color w:val="auto"/>
          <w:sz w:val="24"/>
          <w:szCs w:val="24"/>
          <w:highlight w:val="none"/>
          <w:lang w:val="en-US" w:eastAsia="zh-CN"/>
        </w:rPr>
        <w:t>。</w:t>
      </w:r>
      <w:r>
        <w:rPr>
          <w:rFonts w:hint="eastAsia" w:ascii="楷体" w:hAnsi="楷体" w:eastAsia="楷体" w:cs="楷体"/>
          <w:sz w:val="24"/>
          <w:highlight w:val="none"/>
          <w:lang w:val="en-US" w:eastAsia="zh-CN"/>
        </w:rPr>
        <w:t>全国地区现金管理类产品平均近7日年化收益率整体下行</w:t>
      </w:r>
      <w:r>
        <w:rPr>
          <w:rFonts w:hint="eastAsia" w:ascii="楷体" w:hAnsi="楷体" w:eastAsia="楷体" w:cs="楷体"/>
          <w:color w:val="auto"/>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69865" cy="2825115"/>
                  <wp:effectExtent l="4445" t="4445" r="21590" b="8890"/>
                  <wp:docPr id="1"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28DD31F">
      <w:pPr>
        <w:keepNext w:val="0"/>
        <w:keepLines w:val="0"/>
        <w:widowControl/>
        <w:numPr>
          <w:ilvl w:val="0"/>
          <w:numId w:val="0"/>
        </w:numPr>
        <w:suppressLineNumbers w:val="0"/>
        <w:pBdr>
          <w:top w:val="none" w:color="auto" w:sz="0" w:space="0"/>
          <w:left w:val="none" w:color="auto" w:sz="0" w:space="0"/>
          <w:right w:val="none" w:color="auto" w:sz="0" w:space="0"/>
        </w:pBdr>
        <w:spacing w:line="360" w:lineRule="auto"/>
        <w:ind w:firstLine="420" w:firstLineChars="200"/>
        <w:jc w:val="left"/>
        <w:rPr>
          <w:rStyle w:val="10"/>
          <w:rFonts w:ascii="楷体" w:hAnsi="楷体" w:eastAsia="楷体" w:cs="楷体"/>
          <w:color w:val="auto"/>
          <w:sz w:val="24"/>
          <w:lang w:bidi="ar"/>
        </w:rPr>
      </w:pPr>
      <w:r>
        <w:rPr>
          <w:rStyle w:val="10"/>
          <w:rFonts w:ascii="楷体" w:hAnsi="楷体" w:eastAsia="楷体" w:cs="楷体"/>
          <w:color w:val="auto"/>
        </w:rPr>
        <w:t>公开市场方面，假设5月末质押式逆回购余额降至约1万亿，对应净回笼逆回购约6200亿元，但是考虑政府债净供给压力大幅抬升，央行或使用MLF、买断式逆回购等工具释放中长期流动性，预计MLF净投放约3750亿元，买断式逆回购净投放约1000亿元，则5月央行对其他存款性公司债权环比下降约1400亿元。综合来看，预计5月超储率约1.0%，较4月下行0.1pct，处于历史偏低水平。</w:t>
      </w:r>
    </w:p>
    <w:p w14:paraId="5AA2A3CF">
      <w:pPr>
        <w:keepNext w:val="0"/>
        <w:keepLines w:val="0"/>
        <w:widowControl/>
        <w:numPr>
          <w:ilvl w:val="0"/>
          <w:numId w:val="0"/>
        </w:numPr>
        <w:suppressLineNumbers w:val="0"/>
        <w:pBdr>
          <w:top w:val="none" w:color="auto" w:sz="0" w:space="0"/>
          <w:left w:val="none" w:color="auto" w:sz="0" w:space="0"/>
          <w:right w:val="none" w:color="auto" w:sz="0" w:space="0"/>
        </w:pBdr>
        <w:spacing w:line="360" w:lineRule="auto"/>
        <w:ind w:firstLine="420" w:firstLineChars="200"/>
        <w:jc w:val="left"/>
        <w:rPr>
          <w:rStyle w:val="10"/>
          <w:rFonts w:ascii="楷体" w:hAnsi="楷体" w:eastAsia="楷体" w:cs="楷体"/>
          <w:color w:val="auto"/>
        </w:rPr>
      </w:pPr>
      <w:r>
        <w:rPr>
          <w:rStyle w:val="10"/>
          <w:rFonts w:hint="default" w:ascii="楷体" w:hAnsi="楷体" w:eastAsia="楷体" w:cs="楷体"/>
          <w:b w:val="0"/>
          <w:color w:val="auto"/>
          <w:sz w:val="21"/>
          <w:lang w:bidi="ar"/>
        </w:rPr>
        <w:t>资金面方面，</w:t>
      </w:r>
      <w:r>
        <w:rPr>
          <w:rStyle w:val="10"/>
          <w:rFonts w:ascii="楷体" w:hAnsi="楷体" w:eastAsia="楷体" w:cs="楷体"/>
          <w:color w:val="auto"/>
        </w:rPr>
        <w:t>基本面不确定性增大，央行在4月可能通过加大对银行的隐性支持，推动银行净融出进一步走高，使资金利率继续向政策利率靠拢。而考虑资金与债券利差偏低的状态仍在持续，非银机构融入资金的规模大致平稳，资金分层的现象进一步缓释，R与DR利差降至24年5月以来的最低水平。</w:t>
      </w:r>
    </w:p>
    <w:p w14:paraId="208CF9AA">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jc w:val="left"/>
        <w:rPr>
          <w:rStyle w:val="10"/>
          <w:rFonts w:hint="eastAsia" w:ascii="楷体" w:hAnsi="楷体" w:eastAsia="楷体" w:cs="楷体"/>
          <w:b w:val="0"/>
          <w:color w:val="auto"/>
          <w:sz w:val="24"/>
          <w:lang w:bidi="ar"/>
        </w:rPr>
      </w:pP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1.26</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4月债市整体走强，</w:t>
      </w:r>
      <w:r>
        <w:rPr>
          <w:rFonts w:hint="eastAsia" w:ascii="楷体" w:hAnsi="楷体" w:eastAsia="楷体" w:cs="楷体"/>
          <w:color w:val="000000" w:themeColor="text1"/>
          <w:sz w:val="24"/>
          <w:lang w:val="en-US" w:eastAsia="zh-CN"/>
          <w14:textFill>
            <w14:solidFill>
              <w14:schemeClr w14:val="tx1"/>
            </w14:solidFill>
          </w14:textFill>
        </w:rPr>
        <w:t>固收类产品近三月</w:t>
      </w:r>
      <w:r>
        <w:rPr>
          <w:rFonts w:hint="eastAsia" w:ascii="楷体" w:hAnsi="楷体" w:eastAsia="楷体" w:cs="楷体"/>
          <w:color w:val="000000" w:themeColor="text1"/>
          <w:sz w:val="24"/>
          <w:lang w:eastAsia="zh-CN"/>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近六月收益均有所上升。</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过去三个月投资收益为0.50%，较上月上升6BP；过去六个月投资收益为1.26%，较上月上升5BP。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过去三个月投资收益为0.48%，较上月环比上升4BP；过去六个月投资收益达1.13%，较上月上升2BP。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过去三个月投资收益为0.49%，较上月上升9BP；过去六个月投资收益达1.33%，较上月上升8BP。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过去三个月投资收益为0.54%，较上月环比上升9BP；过去六个月投资收益达1.50%，较上月环比上升9BP。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5FE8A9BF">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债券市场方面，4月份，短、中期国债和短、中期AAA企业债到期收益率均有所下降。具体来看，4月30日，6个月国债到期收益率为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w:t>
      </w:r>
      <w:r>
        <w:rPr>
          <w:rFonts w:hint="eastAsia" w:ascii="楷体" w:hAnsi="楷体" w:eastAsia="楷体" w:cs="楷体"/>
          <w:color w:val="000000" w:themeColor="text1"/>
          <w:sz w:val="24"/>
          <w:highlight w:val="none"/>
          <w:u w:val="none"/>
          <w:lang w:val="en-US" w:eastAsia="zh-CN"/>
          <w14:textFill>
            <w14:solidFill>
              <w14:schemeClr w14:val="tx1"/>
            </w14:solidFill>
          </w14:textFill>
        </w:rPr>
        <w:t>47%，较上月末环比下降7.50BP；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w:t>
      </w:r>
      <w:r>
        <w:rPr>
          <w:rFonts w:hint="eastAsia" w:ascii="楷体" w:hAnsi="楷体" w:eastAsia="楷体" w:cs="楷体"/>
          <w:color w:val="000000" w:themeColor="text1"/>
          <w:sz w:val="24"/>
          <w:highlight w:val="none"/>
          <w:u w:val="none"/>
          <w14:textFill>
            <w14:solidFill>
              <w14:schemeClr w14:val="tx1"/>
            </w14:solidFill>
          </w14:textFill>
        </w:rPr>
        <w:t>1.</w:t>
      </w:r>
      <w:r>
        <w:rPr>
          <w:rFonts w:hint="eastAsia" w:ascii="楷体" w:hAnsi="楷体" w:eastAsia="楷体" w:cs="楷体"/>
          <w:color w:val="000000" w:themeColor="text1"/>
          <w:sz w:val="24"/>
          <w:highlight w:val="none"/>
          <w:u w:val="none"/>
          <w:lang w:val="en-US" w:eastAsia="zh-CN"/>
          <w14:textFill>
            <w14:solidFill>
              <w14:schemeClr w14:val="tx1"/>
            </w14:solidFill>
          </w14:textFill>
        </w:rPr>
        <w:t>46%，较上月末环</w:t>
      </w:r>
      <w:bookmarkStart w:id="1" w:name="_GoBack"/>
      <w:bookmarkEnd w:id="1"/>
      <w:r>
        <w:rPr>
          <w:rFonts w:hint="eastAsia" w:ascii="楷体" w:hAnsi="楷体" w:eastAsia="楷体" w:cs="楷体"/>
          <w:color w:val="000000" w:themeColor="text1"/>
          <w:sz w:val="24"/>
          <w:highlight w:val="none"/>
          <w:u w:val="none"/>
          <w:lang w:val="en-US" w:eastAsia="zh-CN"/>
          <w14:textFill>
            <w14:solidFill>
              <w14:schemeClr w14:val="tx1"/>
            </w14:solidFill>
          </w14:textFill>
        </w:rPr>
        <w:t>比下降4.04BP。6个月AAA企业债到期收益率为</w:t>
      </w:r>
      <w:r>
        <w:rPr>
          <w:rFonts w:hint="eastAsia" w:ascii="楷体" w:hAnsi="楷体" w:eastAsia="楷体" w:cs="楷体"/>
          <w:color w:val="000000" w:themeColor="text1"/>
          <w:sz w:val="24"/>
          <w:highlight w:val="none"/>
          <w:u w:val="none"/>
          <w14:textFill>
            <w14:solidFill>
              <w14:schemeClr w14:val="tx1"/>
            </w14:solidFill>
          </w14:textFill>
        </w:rPr>
        <w:t>1.</w:t>
      </w:r>
      <w:r>
        <w:rPr>
          <w:rFonts w:hint="eastAsia" w:ascii="楷体" w:hAnsi="楷体" w:eastAsia="楷体" w:cs="楷体"/>
          <w:color w:val="000000" w:themeColor="text1"/>
          <w:sz w:val="24"/>
          <w:highlight w:val="none"/>
          <w:u w:val="none"/>
          <w:lang w:val="en-US" w:eastAsia="zh-CN"/>
          <w14:textFill>
            <w14:solidFill>
              <w14:schemeClr w14:val="tx1"/>
            </w14:solidFill>
          </w14:textFill>
        </w:rPr>
        <w:t>77%，环比下降13.06BP，1年期AAA企业债到期收益率为1.82%，环比下降11.09BP。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3450" cy="3276600"/>
                  <wp:effectExtent l="4445" t="4445" r="14605" b="14605"/>
                  <wp:docPr id="145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38BFE20E">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长期限债券市场方面，4月份，2年期、10年期国债和2年期、10年期AAA企业债到期收益率均下降。具体来看，4月30日，2年期国债到期收益率为</w:t>
      </w:r>
      <w:r>
        <w:rPr>
          <w:rFonts w:hint="eastAsia" w:ascii="楷体" w:hAnsi="楷体" w:eastAsia="楷体" w:cs="楷体"/>
          <w:color w:val="000000" w:themeColor="text1"/>
          <w:sz w:val="24"/>
          <w:highlight w:val="none"/>
          <w14:textFill>
            <w14:solidFill>
              <w14:schemeClr w14:val="tx1"/>
            </w14:solidFill>
          </w14:textFill>
        </w:rPr>
        <w:t>1.</w:t>
      </w:r>
      <w:r>
        <w:rPr>
          <w:rFonts w:hint="eastAsia" w:ascii="楷体" w:hAnsi="楷体" w:eastAsia="楷体" w:cs="楷体"/>
          <w:color w:val="000000" w:themeColor="text1"/>
          <w:sz w:val="24"/>
          <w:highlight w:val="none"/>
          <w:lang w:val="en-US" w:eastAsia="zh-CN"/>
          <w14:textFill>
            <w14:solidFill>
              <w14:schemeClr w14:val="tx1"/>
            </w14:solidFill>
          </w14:textFill>
        </w:rPr>
        <w:t>45%，环比下降12.11BP。10年期国债到期收益率为1.63%，环比下降19.13BP。2年期AAA企业债到期收益率为1.88%，环比下降9.73BP。10年期AAA企业债到期收益率为2.19%，环比上升7.27%。</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979670" cy="2895600"/>
                  <wp:effectExtent l="4445" t="4445" r="6985" b="14605"/>
                  <wp:docPr id="145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整体下行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4月，全国银行理财市场现金管理类产品收益指数整体下行，月初下降较快，下半月平稳运行，截至2025年4月30日，全国银行理财市场现金管理类产品收益指数为53.91点，较上月环比下降3.09点，较基期下降46.09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持续上升</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4</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109.02</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涨幅0.22%</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9.02</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9.02%</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0.22%</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0.50%</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1.26%</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1877695</wp:posOffset>
                  </wp:positionH>
                  <wp:positionV relativeFrom="paragraph">
                    <wp:posOffset>130810</wp:posOffset>
                  </wp:positionV>
                  <wp:extent cx="2047875" cy="533400"/>
                  <wp:effectExtent l="0" t="0" r="9525" b="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分期限来看，4</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108.56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涨幅0.20%</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8.56</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8.56%；中期固收类产品收益指数为109.35点，环比上升0.27点，环比涨幅0.24%，指数较基期上升9.35点，增长9.35%；长期固收类产品收益指数为109.71点，环比上升0.29点，环比涨幅0.26%，指数较基期上升9.71点，增长9.71%。</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1.13%</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1.33%</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1.50%</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252F6E47-0382-4667-95E3-067CB0CA7FB5}"/>
  </w:font>
  <w:font w:name="华文楷体">
    <w:panose1 w:val="02010600040101010101"/>
    <w:charset w:val="86"/>
    <w:family w:val="auto"/>
    <w:pitch w:val="default"/>
    <w:sig w:usb0="A00002BF" w:usb1="78CF7CFB" w:usb2="00000016" w:usb3="00000000" w:csb0="6006009F" w:csb1="DFD70000"/>
    <w:embedRegular r:id="rId2" w:fontKey="{C68F6824-9494-4B06-A9C4-A2B7698ED9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6D4E25"/>
    <w:rsid w:val="09843C8B"/>
    <w:rsid w:val="098D41AA"/>
    <w:rsid w:val="098E7F5A"/>
    <w:rsid w:val="09B94653"/>
    <w:rsid w:val="09F935EE"/>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835CBC"/>
    <w:rsid w:val="13C124B3"/>
    <w:rsid w:val="13C32DA1"/>
    <w:rsid w:val="142F0E9B"/>
    <w:rsid w:val="14342E34"/>
    <w:rsid w:val="1480391E"/>
    <w:rsid w:val="14C70887"/>
    <w:rsid w:val="14EB1F91"/>
    <w:rsid w:val="14F92001"/>
    <w:rsid w:val="153222F7"/>
    <w:rsid w:val="1570073A"/>
    <w:rsid w:val="160F2852"/>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40139AD"/>
    <w:rsid w:val="34140EA1"/>
    <w:rsid w:val="343E7C43"/>
    <w:rsid w:val="34493C5F"/>
    <w:rsid w:val="3474249F"/>
    <w:rsid w:val="34B54E13"/>
    <w:rsid w:val="34D5292D"/>
    <w:rsid w:val="352C1FEF"/>
    <w:rsid w:val="35462FD0"/>
    <w:rsid w:val="35590699"/>
    <w:rsid w:val="3564585C"/>
    <w:rsid w:val="35696FCA"/>
    <w:rsid w:val="35E82D0F"/>
    <w:rsid w:val="363E0065"/>
    <w:rsid w:val="366A57EF"/>
    <w:rsid w:val="367C3A34"/>
    <w:rsid w:val="36C56482"/>
    <w:rsid w:val="37136C8A"/>
    <w:rsid w:val="3724042E"/>
    <w:rsid w:val="372B5833"/>
    <w:rsid w:val="373E370A"/>
    <w:rsid w:val="376B0D44"/>
    <w:rsid w:val="377655FB"/>
    <w:rsid w:val="3819071C"/>
    <w:rsid w:val="38415FDC"/>
    <w:rsid w:val="38746B20"/>
    <w:rsid w:val="38C8225A"/>
    <w:rsid w:val="38D20CF3"/>
    <w:rsid w:val="38E33FD5"/>
    <w:rsid w:val="38ED43C7"/>
    <w:rsid w:val="39636982"/>
    <w:rsid w:val="39795DE8"/>
    <w:rsid w:val="39914FE8"/>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F35A3"/>
    <w:rsid w:val="43E4263E"/>
    <w:rsid w:val="444E7AB7"/>
    <w:rsid w:val="44867251"/>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6FF2A7C"/>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D7B9E"/>
    <w:rsid w:val="55AF05D2"/>
    <w:rsid w:val="55E32420"/>
    <w:rsid w:val="56395FD4"/>
    <w:rsid w:val="56EF2C36"/>
    <w:rsid w:val="56FE5CEA"/>
    <w:rsid w:val="574C1A20"/>
    <w:rsid w:val="575A3A43"/>
    <w:rsid w:val="575D270F"/>
    <w:rsid w:val="58224769"/>
    <w:rsid w:val="583F45D6"/>
    <w:rsid w:val="586E207E"/>
    <w:rsid w:val="58867311"/>
    <w:rsid w:val="58B44857"/>
    <w:rsid w:val="58CE21AA"/>
    <w:rsid w:val="58F230FB"/>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CC24AC"/>
    <w:rsid w:val="5FDC720B"/>
    <w:rsid w:val="5FE21F51"/>
    <w:rsid w:val="600D105A"/>
    <w:rsid w:val="60112258"/>
    <w:rsid w:val="60F03F5F"/>
    <w:rsid w:val="612A1601"/>
    <w:rsid w:val="61323E55"/>
    <w:rsid w:val="613822E0"/>
    <w:rsid w:val="613839F8"/>
    <w:rsid w:val="61554044"/>
    <w:rsid w:val="61922529"/>
    <w:rsid w:val="61AF4EC6"/>
    <w:rsid w:val="61E16E01"/>
    <w:rsid w:val="621974FF"/>
    <w:rsid w:val="626B6941"/>
    <w:rsid w:val="628420FD"/>
    <w:rsid w:val="628726BA"/>
    <w:rsid w:val="62A25D33"/>
    <w:rsid w:val="62B71C5C"/>
    <w:rsid w:val="62D41677"/>
    <w:rsid w:val="62F251EC"/>
    <w:rsid w:val="631A0CB1"/>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195D61"/>
    <w:rsid w:val="661C7073"/>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E3747F"/>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547F50"/>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3201D8"/>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4&#26376;\4&#26376;&#20840;&#22269;&#25351;&#25968;\&#22269;&#20538;&#20225;&#19994;&#20538;&#25910;&#30410;&#29575;-&#25130;&#33267;2025&#24180;4&#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4&#26376;\4&#26376;&#20840;&#22269;&#25351;&#25968;\&#22269;&#20538;&#20225;&#19994;&#20538;&#25910;&#30410;&#29575;-&#25130;&#33267;2025&#24180;4&#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828;&#30427;&#24742;\&#24037;&#20316;&#20869;&#23481;\2024&#26032;&#29256;&#25351;&#25968;\2025&#24180;4&#26376;\4&#26376;&#20840;&#22269;&#25351;&#25968;\&#21306;&#22495;&#38134;&#34892;&#29702;&#36130;&#20135;&#21697;&#25351;&#25968;&#65288;202504&#6528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'[区域银行理财产品指数（202504）(1).xlsx]现金管理类指数'!$E$2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'[区域银行理财产品指数（202504）(1).xlsx]现金管理类指数'!$A$3:$A$815</c:f>
              <c:numCache>
                <c:formatCode>yyyy/m/d</c:formatCode>
                <c:ptCount val="813"/>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numCache>
            </c:numRef>
          </c:cat>
          <c:val>
            <c:numRef>
              <c:f>'[区域银行理财产品指数（202504）(1).xlsx]现金管理类指数'!$E$3:$E$815</c:f>
              <c:numCache>
                <c:formatCode>0.00_ </c:formatCode>
                <c:ptCount val="813"/>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2"/>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'[区域银行理财产品指数（202504）(1).xlsx]固收类产品指数'!$M$2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'[区域银行理财产品指数（202504）(1).xlsx]固收类产品指数'!$A$3:$A$43</c:f>
              <c:numCache>
                <c:formatCode>yyyy"年"m"月";@</c:formatCode>
                <c:ptCount val="4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numCache>
            </c:numRef>
          </c:cat>
          <c:val>
            <c:numRef>
              <c:f>'[区域银行理财产品指数（202504）(1).xlsx]固收类产品指数'!$M$3:$M$43</c:f>
              <c:numCache>
                <c:formatCode>0.00_);[Red]\(0.00\)</c:formatCode>
                <c:ptCount val="41"/>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numCache>
            </c:numRef>
          </c:val>
          <c:smooth val="0"/>
        </c:ser>
        <c:ser>
          <c:idx val="1"/>
          <c:order val="1"/>
          <c:tx>
            <c:strRef>
              <c:f>'[区域银行理财产品指数（202504）(1).xlsx]固收类产品指数'!$N$2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'[区域银行理财产品指数（202504）(1).xlsx]固收类产品指数'!$A$3:$A$43</c:f>
              <c:numCache>
                <c:formatCode>yyyy"年"m"月";@</c:formatCode>
                <c:ptCount val="4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numCache>
            </c:numRef>
          </c:cat>
          <c:val>
            <c:numRef>
              <c:f>'[区域银行理财产品指数（202504）(1).xlsx]固收类产品指数'!$N$3:$N$43</c:f>
              <c:numCache>
                <c:formatCode>0.00_);[Red]\(0.00\)</c:formatCode>
                <c:ptCount val="41"/>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numCache>
            </c:numRef>
          </c:val>
          <c:smooth val="0"/>
        </c:ser>
        <c:ser>
          <c:idx val="2"/>
          <c:order val="2"/>
          <c:tx>
            <c:strRef>
              <c:f>'[区域银行理财产品指数（202504）(1).xlsx]固收类产品指数'!$O$2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'[区域银行理财产品指数（202504）(1).xlsx]固收类产品指数'!$A$3:$A$43</c:f>
              <c:numCache>
                <c:formatCode>yyyy"年"m"月";@</c:formatCode>
                <c:ptCount val="4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numCache>
            </c:numRef>
          </c:cat>
          <c:val>
            <c:numRef>
              <c:f>'[区域银行理财产品指数（202504）(1).xlsx]固收类产品指数'!$O$3:$O$43</c:f>
              <c:numCache>
                <c:formatCode>0.00_);[Red]\(0.00\)</c:formatCode>
                <c:ptCount val="41"/>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numCache>
            </c:numRef>
          </c:val>
          <c:smooth val="0"/>
        </c:ser>
        <c:ser>
          <c:idx val="3"/>
          <c:order val="3"/>
          <c:tx>
            <c:strRef>
              <c:f>'[区域银行理财产品指数（202504）(1).xlsx]固收类产品指数'!$P$2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'[区域银行理财产品指数（202504）(1).xlsx]固收类产品指数'!$A$3:$A$43</c:f>
              <c:numCache>
                <c:formatCode>yyyy"年"m"月";@</c:formatCode>
                <c:ptCount val="4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numCache>
            </c:numRef>
          </c:cat>
          <c:val>
            <c:numRef>
              <c:f>'[区域银行理财产品指数（202504）(1).xlsx]固收类产品指数'!$P$3:$P$43</c:f>
              <c:numCache>
                <c:formatCode>0.00_);[Red]\(0.00\)</c:formatCode>
                <c:ptCount val="41"/>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'[区域银行理财产品指数（202504）(1).xlsx]固收类产品指数'!$W$2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'[区域银行理财产品指数（202504）(1).xlsx]固收类产品指数'!$W$38:$W$43</c:f>
              <c:numCache>
                <c:formatCode>0.00%</c:formatCode>
                <c:ptCount val="6"/>
                <c:pt idx="0">
                  <c:v>0.00614598565650445</c:v>
                </c:pt>
                <c:pt idx="1">
                  <c:v>0.00772179016311039</c:v>
                </c:pt>
                <c:pt idx="2">
                  <c:v>0.00761761327308914</c:v>
                </c:pt>
                <c:pt idx="3">
                  <c:v>0.0056397741438382</c:v>
                </c:pt>
                <c:pt idx="4">
                  <c:v>0.00435647250856359</c:v>
                </c:pt>
                <c:pt idx="5">
                  <c:v>0.0049612035461248</c:v>
                </c:pt>
              </c:numCache>
            </c:numRef>
          </c:val>
        </c:ser>
        <c:ser>
          <c:idx val="1"/>
          <c:order val="1"/>
          <c:tx>
            <c:strRef>
              <c:f>'[区域银行理财产品指数（202504）(1).xlsx]固收类产品指数'!$X$2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'[区域银行理财产品指数（202504）(1).xlsx]固收类产品指数'!$X$38:$X$43</c:f>
              <c:numCache>
                <c:formatCode>0.00%</c:formatCode>
                <c:ptCount val="6"/>
                <c:pt idx="0">
                  <c:v>0.0119079607143704</c:v>
                </c:pt>
                <c:pt idx="1">
                  <c:v>0.0128002298245475</c:v>
                </c:pt>
                <c:pt idx="2">
                  <c:v>0.0119719068712657</c:v>
                </c:pt>
                <c:pt idx="3">
                  <c:v>0.0118204217713366</c:v>
                </c:pt>
                <c:pt idx="4">
                  <c:v>0.0121119024382365</c:v>
                </c:pt>
                <c:pt idx="5">
                  <c:v>0.0126166093491974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'[区域银行理财产品指数（202504）(1).xlsx]固收类产品指数'!$Q$2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'[区域银行理财产品指数（202504）(1).xlsx]固收类产品指数'!$Q$38:$Q$43</c:f>
              <c:numCache>
                <c:formatCode>0.00%</c:formatCode>
                <c:ptCount val="6"/>
                <c:pt idx="0">
                  <c:v>0.00545674724335926</c:v>
                </c:pt>
                <c:pt idx="1">
                  <c:v>0.00666295520776901</c:v>
                </c:pt>
                <c:pt idx="2">
                  <c:v>0.00651021671340844</c:v>
                </c:pt>
                <c:pt idx="3">
                  <c:v>0.00515494025814584</c:v>
                </c:pt>
                <c:pt idx="4">
                  <c:v>0.00437707309550048</c:v>
                </c:pt>
                <c:pt idx="5">
                  <c:v>0.00477214315793005</c:v>
                </c:pt>
              </c:numCache>
            </c:numRef>
          </c:val>
        </c:ser>
        <c:ser>
          <c:idx val="1"/>
          <c:order val="1"/>
          <c:tx>
            <c:strRef>
              <c:f>'[区域银行理财产品指数（202504）(1).xlsx]固收类产品指数'!$R$2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'[区域银行理财产品指数（202504）(1).xlsx]固收类产品指数'!$R$38:$R$43</c:f>
              <c:numCache>
                <c:formatCode>0.00%</c:formatCode>
                <c:ptCount val="6"/>
                <c:pt idx="0">
                  <c:v>0.0111635112514107</c:v>
                </c:pt>
                <c:pt idx="1">
                  <c:v>0.011593514609656</c:v>
                </c:pt>
                <c:pt idx="2">
                  <c:v>0.0108848799143305</c:v>
                </c:pt>
                <c:pt idx="3">
                  <c:v>0.0106398167075484</c:v>
                </c:pt>
                <c:pt idx="4">
                  <c:v>0.0110691925452459</c:v>
                </c:pt>
                <c:pt idx="5">
                  <c:v>0.011313427557484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'[区域银行理财产品指数（202504）(1).xlsx]固收类产品指数'!$S$2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'[区域银行理财产品指数（202504）(1).xlsx]固收类产品指数'!$S$38:$S$43</c:f>
              <c:numCache>
                <c:formatCode>0.00%</c:formatCode>
                <c:ptCount val="6"/>
                <c:pt idx="0">
                  <c:v>0.00624210366978769</c:v>
                </c:pt>
                <c:pt idx="1">
                  <c:v>0.00846368703233806</c:v>
                </c:pt>
                <c:pt idx="2">
                  <c:v>0.0083959008259141</c:v>
                </c:pt>
                <c:pt idx="3">
                  <c:v>0.00560420876590709</c:v>
                </c:pt>
                <c:pt idx="4">
                  <c:v>0.00402253419956202</c:v>
                </c:pt>
                <c:pt idx="5">
                  <c:v>0.00487630724271276</c:v>
                </c:pt>
              </c:numCache>
            </c:numRef>
          </c:val>
        </c:ser>
        <c:ser>
          <c:idx val="1"/>
          <c:order val="1"/>
          <c:tx>
            <c:strRef>
              <c:f>'[区域银行理财产品指数（202504）(1).xlsx]固收类产品指数'!$T$2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'[区域银行理财产品指数（202504）(1).xlsx]固收类产品指数'!$T$38:$T$43</c:f>
              <c:numCache>
                <c:formatCode>0.00%</c:formatCode>
                <c:ptCount val="6"/>
                <c:pt idx="0">
                  <c:v>0.01216274254039</c:v>
                </c:pt>
                <c:pt idx="1">
                  <c:v>0.0132812377746241</c:v>
                </c:pt>
                <c:pt idx="2">
                  <c:v>0.012182026918191</c:v>
                </c:pt>
                <c:pt idx="3">
                  <c:v>0.0118812944877987</c:v>
                </c:pt>
                <c:pt idx="4">
                  <c:v>0.0125202667024421</c:v>
                </c:pt>
                <c:pt idx="5">
                  <c:v>0.0133131490606334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'[区域银行理财产品指数（202504）(1).xlsx]固收类产品指数'!$U$2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'[区域银行理财产品指数（202504）(1).xlsx]固收类产品指数'!$U$38:$U$43</c:f>
              <c:numCache>
                <c:formatCode>0.00%</c:formatCode>
                <c:ptCount val="6"/>
                <c:pt idx="0">
                  <c:v>0.00755972045801106</c:v>
                </c:pt>
                <c:pt idx="1">
                  <c:v>0.00956149365448278</c:v>
                </c:pt>
                <c:pt idx="2">
                  <c:v>0.00953824274169092</c:v>
                </c:pt>
                <c:pt idx="3">
                  <c:v>0.00669728656943644</c:v>
                </c:pt>
                <c:pt idx="4">
                  <c:v>0.00449990226434194</c:v>
                </c:pt>
                <c:pt idx="5">
                  <c:v>0.00544531451695858</c:v>
                </c:pt>
              </c:numCache>
            </c:numRef>
          </c:val>
        </c:ser>
        <c:ser>
          <c:idx val="1"/>
          <c:order val="1"/>
          <c:tx>
            <c:strRef>
              <c:f>'[区域银行理财产品指数（202504）(1).xlsx]固收类产品指数'!$V$2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'[区域银行理财产品指数（202504）(1).xlsx]固收类产品指数'!$A$38:$A$43</c:f>
              <c:numCache>
                <c:formatCode>yyyy"年"m"月";@</c:formatCode>
                <c:ptCount val="6"/>
                <c:pt idx="0" c:formatCode="yyyy&quot;年&quot;m&quot;月&quot;;@">
                  <c:v>45598</c:v>
                </c:pt>
                <c:pt idx="1" c:formatCode="yyyy&quot;年&quot;m&quot;月&quot;;@">
                  <c:v>45628</c:v>
                </c:pt>
                <c:pt idx="2" c:formatCode="yyyy&quot;年&quot;m&quot;月&quot;;@">
                  <c:v>45658</c:v>
                </c:pt>
                <c:pt idx="3" c:formatCode="yyyy&quot;年&quot;m&quot;月&quot;;@">
                  <c:v>45689</c:v>
                </c:pt>
                <c:pt idx="4" c:formatCode="yyyy&quot;年&quot;m&quot;月&quot;;@">
                  <c:v>45717</c:v>
                </c:pt>
                <c:pt idx="5" c:formatCode="yyyy&quot;年&quot;m&quot;月&quot;;@">
                  <c:v>45748</c:v>
                </c:pt>
              </c:numCache>
            </c:numRef>
          </c:cat>
          <c:val>
            <c:numRef>
              <c:f>'[区域银行理财产品指数（202504）(1).xlsx]固收类产品指数'!$V$38:$V$43</c:f>
              <c:numCache>
                <c:formatCode>0.00%</c:formatCode>
                <c:ptCount val="6"/>
                <c:pt idx="0">
                  <c:v>0.0133012900280123</c:v>
                </c:pt>
                <c:pt idx="1">
                  <c:v>0.015101455369397</c:v>
                </c:pt>
                <c:pt idx="2">
                  <c:v>0.0142060067421388</c:v>
                </c:pt>
                <c:pt idx="3">
                  <c:v>0.0143076366417396</c:v>
                </c:pt>
                <c:pt idx="4">
                  <c:v>0.014104421705771</c:v>
                </c:pt>
                <c:pt idx="5">
                  <c:v>0.0150354959903171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'[国债企业债收益率-截至2025年4月.xls]Sheet0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'[国债企业债收益率-截至2025年4月.xls]Sheet0 (2)'!$A$222:$A$1056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(2)'!$B$222:$B$1056</c:f>
              <c:numCache>
                <c:formatCode>#,##0.00_ </c:formatCode>
                <c:ptCount val="835"/>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numCache>
            </c:numRef>
          </c:val>
          <c:smooth val="0"/>
        </c:ser>
        <c:ser>
          <c:idx val="1"/>
          <c:order val="1"/>
          <c:tx>
            <c:strRef>
              <c:f>'[国债企业债收益率-截至2025年4月.xls]Sheet0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'[国债企业债收益率-截至2025年4月.xls]Sheet0 (2)'!$A$222:$A$1056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(2)'!$C$222:$C$1056</c:f>
              <c:numCache>
                <c:formatCode>#,##0.00_ </c:formatCode>
                <c:ptCount val="835"/>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numCache>
            </c:numRef>
          </c:val>
          <c:smooth val="0"/>
        </c:ser>
        <c:ser>
          <c:idx val="2"/>
          <c:order val="2"/>
          <c:tx>
            <c:strRef>
              <c:f>'[国债企业债收益率-截至2025年4月.xls]Sheet0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'[国债企业债收益率-截至2025年4月.xls]Sheet0 (2)'!$A$222:$A$1056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(2)'!$D$222:$D$1056</c:f>
              <c:numCache>
                <c:formatCode>#,##0.00_ </c:formatCode>
                <c:ptCount val="835"/>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numCache>
            </c:numRef>
          </c:val>
          <c:smooth val="0"/>
        </c:ser>
        <c:ser>
          <c:idx val="3"/>
          <c:order val="3"/>
          <c:tx>
            <c:strRef>
              <c:f>'[国债企业债收益率-截至2025年4月.xls]Sheet0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'[国债企业债收益率-截至2025年4月.xls]Sheet0 (2)'!$A$222:$A$1056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(2)'!$E$222:$E$1056</c:f>
              <c:numCache>
                <c:formatCode>#,##0.00_ </c:formatCode>
                <c:ptCount val="835"/>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numCache>
            </c:numRef>
          </c:val>
          <c:smooth val="0"/>
        </c:ser>
        <c:dLbls>
          <c:showLegendKey val="0"/>
          <c:showVal val="0"/>
          <c:showCatName val="0"/>
          <c:showSerName val="0"/>
          <c:showPercent val="0"/>
          <c:showBubbleSize val="0"/>
        </c:dLbls>
        <c:marker val="0"/>
        <c:smooth val="0"/>
        <c:axId val="174970812"/>
        <c:axId val="410059912"/>
      </c:lineChart>
      <c:dateAx>
        <c:axId val="174970812"/>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10059912"/>
        <c:crosses val="autoZero"/>
        <c:auto val="1"/>
        <c:lblAlgn val="ctr"/>
        <c:lblOffset val="100"/>
        <c:baseTimeUnit val="days"/>
      </c:dateAx>
      <c:valAx>
        <c:axId val="410059912"/>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74970812"/>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43db3077-3177-49ec-a039-dbf447900f0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'[国债企业债收益率-截至2025年4月.xls]Sheet0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'[国债企业债收益率-截至2025年4月.xls]Sheet0 (2)'!$G$222:$G$1056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(2)'!$H$222:$H$1056</c:f>
              <c:numCache>
                <c:formatCode>0.00_ </c:formatCode>
                <c:ptCount val="835"/>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numCache>
            </c:numRef>
          </c:val>
          <c:smooth val="0"/>
        </c:ser>
        <c:ser>
          <c:idx val="1"/>
          <c:order val="1"/>
          <c:tx>
            <c:strRef>
              <c:f>'[国债企业债收益率-截至2025年4月.xls]Sheet0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'[国债企业债收益率-截至2025年4月.xls]Sheet0 (2)'!$G$222:$G$1056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(2)'!$I$222:$I$1056</c:f>
              <c:numCache>
                <c:formatCode>0.00_ </c:formatCode>
                <c:ptCount val="835"/>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numCache>
            </c:numRef>
          </c:val>
          <c:smooth val="0"/>
        </c:ser>
        <c:ser>
          <c:idx val="2"/>
          <c:order val="2"/>
          <c:tx>
            <c:strRef>
              <c:f>'[国债企业债收益率-截至2025年4月.xls]Sheet0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'[国债企业债收益率-截至2025年4月.xls]Sheet0 (2)'!$G$222:$G$1056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(2)'!$J$222:$J$1056</c:f>
              <c:numCache>
                <c:formatCode>0.00_ </c:formatCode>
                <c:ptCount val="835"/>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numCache>
            </c:numRef>
          </c:val>
          <c:smooth val="0"/>
        </c:ser>
        <c:ser>
          <c:idx val="3"/>
          <c:order val="3"/>
          <c:tx>
            <c:strRef>
              <c:f>'[国债企业债收益率-截至2025年4月.xls]Sheet0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'[国债企业债收益率-截至2025年4月.xls]Sheet0 (2)'!$G$222:$G$1056</c:f>
              <c:strCache>
                <c:ptCount val="835"/>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strCache>
            </c:strRef>
          </c:cat>
          <c:val>
            <c:numRef>
              <c:f>'[国债企业债收益率-截至2025年4月.xls]Sheet0 (2)'!$K$222:$K$1056</c:f>
              <c:numCache>
                <c:formatCode>0.00_ </c:formatCode>
                <c:ptCount val="835"/>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numCache>
            </c:numRef>
          </c:val>
          <c:smooth val="0"/>
        </c:ser>
        <c:dLbls>
          <c:showLegendKey val="0"/>
          <c:showVal val="0"/>
          <c:showCatName val="0"/>
          <c:showSerName val="0"/>
          <c:showPercent val="0"/>
          <c:showBubbleSize val="0"/>
        </c:dLbls>
        <c:marker val="0"/>
        <c:smooth val="0"/>
        <c:axId val="464621840"/>
        <c:axId val="350588413"/>
      </c:lineChart>
      <c:catAx>
        <c:axId val="4646218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0588413"/>
        <c:crosses val="autoZero"/>
        <c:auto val="1"/>
        <c:lblAlgn val="ctr"/>
        <c:lblOffset val="100"/>
        <c:tickLblSkip val="50"/>
        <c:noMultiLvlLbl val="0"/>
      </c:catAx>
      <c:valAx>
        <c:axId val="350588413"/>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64621840"/>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98eb99d-5f5d-4605-b6a9-9af82cb8bfc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'[区域银行理财产品指数（202504）(1).xlsx]现金管理类指数'!$H$2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'[区域银行理财产品指数（202504）(1).xlsx]现金管理类指数'!$A$3:$A$815</c:f>
              <c:numCache>
                <c:formatCode>yyyy/m/d</c:formatCode>
                <c:ptCount val="813"/>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numCache>
            </c:numRef>
          </c:cat>
          <c:val>
            <c:numRef>
              <c:f>'[区域银行理财产品指数（202504）(1).xlsx]现金管理类指数'!$H$3:$H$815</c:f>
              <c:numCache>
                <c:formatCode>General</c:formatCode>
                <c:ptCount val="813"/>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4"/>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'[区域银行理财产品指数（202504）(1).xlsx]固收整体'!$I$2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'[区域银行理财产品指数（202504）(1).xlsx]固收整体'!$A$3:$A$43</c:f>
              <c:numCache>
                <c:formatCode>yyyy\-mm</c:formatCode>
                <c:ptCount val="41"/>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numCache>
            </c:numRef>
          </c:cat>
          <c:val>
            <c:numRef>
              <c:f>'[区域银行理财产品指数（202504）(1).xlsx]固收整体'!$I$3:$I$43</c:f>
              <c:numCache>
                <c:formatCode>General</c:formatCode>
                <c:ptCount val="41"/>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'[区域银行理财产品指数（202504）(1).xlsx]固收整体'!$G$2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'[区域银行理财产品指数（202504）(1).xlsx]固收整体'!$A$3:$A$43</c15:sqref>
                        </c15:formulaRef>
                      </c:ext>
                    </c:extLst>
                    <c:numCache>
                      <c:formatCode>yyyy\-mm</c:formatCode>
                      <c:ptCount val="41"/>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c15:sqref>
                        </c15:formulaRef>
                      </c:ext>
                    </c:extLst>
                    <c:numCache>
                      <c:formatCode>General</c:formatCode>
                      <c:ptCount val="41"/>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numCache>
                  </c:numRef>
                </c:val>
                <c:smooth val="0"/>
              </c15:ser>
            </c15:filteredLineSeries>
            <c15:filteredLineSeries>
              <c15:ser>
                <c:idx val="1"/>
                <c:order val="1"/>
                <c:tx>
                  <c:strRef>
                    <c:extLst>
                      <c:ext uri="{02D57815-91ED-43cb-92C2-25804820EDAC}">
                        <c15:formulaRef>
                          <c15:sqref>'[区域银行理财产品指数（202504）(1).xlsx]固收整体'!$H$2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'[区域银行理财产品指数（202504）(1).xlsx]固收整体'!$A$3:$A$43</c15:sqref>
                        </c15:formulaRef>
                      </c:ext>
                    </c:extLst>
                    <c:numCache>
                      <c:formatCode>yyyy\-mm</c:formatCode>
                      <c:ptCount val="41"/>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c15:sqref>
                        </c15:formulaRef>
                      </c:ext>
                    </c:extLst>
                    <c:numCache>
                      <c:formatCode>General</c:formatCode>
                      <c:ptCount val="41"/>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3243</Words>
  <Characters>3657</Characters>
  <Lines>13</Lines>
  <Paragraphs>3</Paragraphs>
  <TotalTime>3</TotalTime>
  <ScaleCrop>false</ScaleCrop>
  <LinksUpToDate>false</LinksUpToDate>
  <CharactersWithSpaces>3657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2025-05-15T09:18:12Z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7DBF179259514D43BD085DEB5F9D385C_13</vt:lpwstr>
  </property>
  <property fmtid="{D5CDD505-2E9C-101B-9397-08002B2CF9AE}" pid="4" name="KSOTemplateDocerSaveRecord">
    <vt:lpwstr>eyJoZGlkIjoiYTExMWY2ZjM3YmY0YjMxNmQyODczMjdjN2RlMmEzMmEiLCJ1c2VySWQiOiI2Nzc0OTM1In0=</vt:lpwstr>
  </property>
</Properties>
</file>