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仿宋_GB2312" w:eastAsia="仿宋_GB2312"/>
          <w:sz w:val="30"/>
          <w:szCs w:val="30"/>
        </w:rPr>
      </w:pPr>
      <w:r>
        <w:rPr>
          <w:rFonts w:hint="eastAsia" w:ascii="宋体" w:hAnsi="宋体" w:eastAsia="宋体" w:cs="宋体"/>
          <w:b/>
          <w:bCs/>
          <w:sz w:val="44"/>
          <w:szCs w:val="44"/>
        </w:rPr>
        <w:t>城市商业银行20周年20件大事</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1、1995年，国务院正式下发《关于组建城市合作银行的通知》，人民银行在全国范</w:t>
      </w:r>
      <w:bookmarkStart w:id="15" w:name="_GoBack"/>
      <w:bookmarkEnd w:id="15"/>
      <w:r>
        <w:rPr>
          <w:rFonts w:hint="eastAsia" w:ascii="仿宋_GB2312" w:hAnsi="宋体" w:eastAsia="仿宋_GB2312"/>
          <w:b/>
          <w:sz w:val="30"/>
          <w:szCs w:val="30"/>
        </w:rPr>
        <w:t>围内开展城市合作银行组建工作。深圳城市合作银行成为第一家开业的城市合作银行。</w:t>
      </w:r>
    </w:p>
    <w:p>
      <w:pPr>
        <w:rPr>
          <w:rFonts w:ascii="仿宋_GB2312" w:hAnsi="宋体" w:eastAsia="仿宋_GB2312"/>
          <w:sz w:val="30"/>
          <w:szCs w:val="30"/>
        </w:rPr>
      </w:pPr>
      <w:r>
        <w:rPr>
          <w:rFonts w:hint="eastAsia" w:ascii="仿宋_GB2312" w:hAnsi="宋体" w:eastAsia="仿宋_GB2312"/>
          <w:sz w:val="30"/>
          <w:szCs w:val="30"/>
        </w:rPr>
        <w:t xml:space="preserve">    1993年下半年，作为清理整顿金融秩序的一部分，中国人民银行开始清理整顿城市信用合作社。在此基础上，拟通过组建城市合作银行，扩大治理整顿成果、加强金融监管、防范金融风险，从而进一步完善商业银行体系，促进城市经济发展。</w:t>
      </w:r>
    </w:p>
    <w:p>
      <w:pPr>
        <w:rPr>
          <w:rFonts w:ascii="仿宋_GB2312" w:hAnsi="宋体" w:eastAsia="仿宋_GB2312"/>
          <w:sz w:val="30"/>
          <w:szCs w:val="30"/>
        </w:rPr>
      </w:pPr>
      <w:r>
        <w:rPr>
          <w:rFonts w:hint="eastAsia" w:ascii="仿宋_GB2312" w:hAnsi="宋体" w:eastAsia="仿宋_GB2312"/>
          <w:sz w:val="30"/>
          <w:szCs w:val="30"/>
        </w:rPr>
        <w:t xml:space="preserve">    1995年2月，中国人民银行成立城市合作银行领导小组，负责城市信用合作社向城市合作银行改制的工作。组建工作以“先试点、后分批”的方式稳步推进。确定城市合作银行的组建工作首先在北京、上海、天津、深圳、石家庄5个城市展开。1995年7月，深圳城市合作银行正式开业，成为全国第一家城市合作银行。随后，上海、北京城市合作银行相继成立。在总结试点经验的基础上，1995年9月，国务院正式下发《关于组建城市合作银行的通知》，决定自1995年起在全国35个大中城市进行第一批组建工作,城市合作银行组建工作有序展开。</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：城市合作银行正式成立，是中央清理整顿金融秩序、推进金融体制改革的重要举措，对于防范金融风险，健全商业银行体系，促进城市经济发展起到了重要作用。</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2、1998年起，监管机构建立和逐步完善城商行监管体系，颁发包括《关于加强城市商业银行监管工作有关问题的通知》、《城市商业银行监管与发展纲要》等法律法规，对加强城商行的监管、建立和完善城商行经营管理模式、推动城商行的健康发展起到了重要的促进作用。</w:t>
      </w:r>
    </w:p>
    <w:p>
      <w:pPr>
        <w:widowControl/>
        <w:jc w:val="left"/>
        <w:outlineLvl w:val="3"/>
        <w:rPr>
          <w:rFonts w:ascii="仿宋_GB2312" w:hAnsi="宋体" w:eastAsia="仿宋_GB2312"/>
          <w:sz w:val="30"/>
          <w:szCs w:val="30"/>
        </w:rPr>
      </w:pPr>
      <w:r>
        <w:rPr>
          <w:rFonts w:hint="eastAsia" w:ascii="仿宋_GB2312" w:hAnsi="宋体" w:eastAsia="仿宋_GB2312"/>
          <w:sz w:val="30"/>
          <w:szCs w:val="30"/>
        </w:rPr>
        <w:t xml:space="preserve">    1998年起，中国人民银行发布了《关于加强城市商业银行监管工作有关问题的通知》、《关于促进城市商业银行健康发展有关问题的通知》（银发[2000]260号）、&lt;</w:t>
      </w:r>
      <w:r>
        <w:fldChar w:fldCharType="begin"/>
      </w:r>
      <w:r>
        <w:instrText xml:space="preserve">HYPERLINK  \l "1,214885,214924,0,,中国人民银行关于印发《城市商业银行贷款质量五级分类实施意见》和" </w:instrText>
      </w:r>
      <w:r>
        <w:fldChar w:fldCharType="separate"/>
      </w:r>
      <w:r>
        <w:rPr>
          <w:rFonts w:hint="eastAsia" w:ascii="仿宋_GB2312" w:hAnsi="宋体" w:eastAsia="仿宋_GB2312"/>
          <w:sz w:val="30"/>
          <w:szCs w:val="30"/>
        </w:rPr>
        <w:t>关于印发《城市商业银行贷款质量五级分类实施意见》和有关工作的通知</w:t>
      </w:r>
      <w:r>
        <w:fldChar w:fldCharType="end"/>
      </w:r>
      <w:r>
        <w:rPr>
          <w:rFonts w:hint="eastAsia" w:ascii="仿宋_GB2312" w:hAnsi="宋体" w:eastAsia="仿宋_GB2312"/>
          <w:sz w:val="30"/>
          <w:szCs w:val="30"/>
        </w:rPr>
        <w:t>&gt; （银发[2002]355号）等文件，确定了城商行“一级法人、两级管理”的管理模式，建立了六级分类监管基本原则，并进一步完善了现场、非现场监管体系。2003年，中国银行业监督管理委员会成立，在延续人民银行分类监管的基础上，进一步完善城商行监管体系，先后颁发《城市商业银行监管与发展纲要》</w:t>
      </w:r>
      <w:bookmarkStart w:id="0" w:name="_Toc177275678"/>
      <w:bookmarkStart w:id="1" w:name="_Toc174950797"/>
      <w:bookmarkStart w:id="2" w:name="_Toc173578292"/>
      <w:bookmarkStart w:id="3" w:name="_Toc172513635"/>
      <w:bookmarkStart w:id="4" w:name="_Toc172512911"/>
      <w:bookmarkStart w:id="5" w:name="_Toc172511905"/>
      <w:bookmarkStart w:id="6" w:name="_Toc172511279"/>
      <w:bookmarkStart w:id="7" w:name="_Toc172478145"/>
      <w:bookmarkStart w:id="8" w:name="_Toc172371937"/>
      <w:bookmarkStart w:id="9" w:name="_Toc172371201"/>
      <w:bookmarkStart w:id="10" w:name="_Toc172367323"/>
      <w:bookmarkStart w:id="11" w:name="_Toc172366284"/>
      <w:bookmarkStart w:id="12" w:name="_Toc171941311"/>
      <w:bookmarkStart w:id="13" w:name="_Toc171939487"/>
      <w:bookmarkStart w:id="14" w:name="_Toc160934704"/>
      <w:r>
        <w:rPr>
          <w:rFonts w:hint="eastAsia" w:ascii="仿宋_GB2312" w:hAnsi="宋体" w:eastAsia="仿宋_GB2312"/>
          <w:sz w:val="30"/>
          <w:szCs w:val="30"/>
        </w:rPr>
        <w:t>（银监办发[2004]291号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Pr>
          <w:rFonts w:hint="eastAsia" w:ascii="仿宋_GB2312" w:hAnsi="宋体" w:eastAsia="仿宋_GB2312"/>
          <w:sz w:val="30"/>
          <w:szCs w:val="30"/>
        </w:rPr>
        <w:t>）、《</w:t>
      </w:r>
      <w:r>
        <w:rPr>
          <w:rFonts w:hint="eastAsia" w:ascii="仿宋_GB2312" w:hAnsi="宋体" w:eastAsia="仿宋_GB2312"/>
          <w:sz w:val="30"/>
          <w:szCs w:val="30"/>
        </w:rPr>
        <w:fldChar w:fldCharType="begin"/>
      </w:r>
      <w:r>
        <w:rPr>
          <w:rFonts w:hint="eastAsia" w:ascii="仿宋_GB2312" w:hAnsi="宋体" w:eastAsia="仿宋_GB2312"/>
          <w:sz w:val="30"/>
          <w:szCs w:val="30"/>
        </w:rPr>
        <w:instrText xml:space="preserve"> MERGEFIELD title </w:instrText>
      </w:r>
      <w:r>
        <w:rPr>
          <w:rFonts w:hint="eastAsia" w:ascii="仿宋_GB2312" w:hAnsi="宋体" w:eastAsia="仿宋_GB2312"/>
          <w:sz w:val="30"/>
          <w:szCs w:val="30"/>
        </w:rPr>
        <w:fldChar w:fldCharType="separate"/>
      </w:r>
      <w:r>
        <w:rPr>
          <w:rFonts w:hint="eastAsia" w:ascii="仿宋_GB2312" w:hAnsi="宋体" w:eastAsia="仿宋_GB2312"/>
          <w:sz w:val="30"/>
          <w:szCs w:val="30"/>
        </w:rPr>
        <w:t>关于继续推进城市商业银行信息披露试点工作的通知</w:t>
      </w:r>
      <w:r>
        <w:rPr>
          <w:rFonts w:hint="eastAsia" w:ascii="仿宋_GB2312" w:hAnsi="宋体" w:eastAsia="仿宋_GB2312"/>
          <w:sz w:val="30"/>
          <w:szCs w:val="30"/>
        </w:rPr>
        <w:fldChar w:fldCharType="end"/>
      </w:r>
      <w:r>
        <w:rPr>
          <w:rFonts w:hint="eastAsia" w:ascii="仿宋_GB2312" w:hAnsi="宋体" w:eastAsia="仿宋_GB2312"/>
          <w:sz w:val="30"/>
          <w:szCs w:val="30"/>
        </w:rPr>
        <w:t>》（银监办发[2005]44号）、</w:t>
      </w:r>
      <w:r>
        <w:rPr>
          <w:rFonts w:hint="eastAsia" w:ascii="仿宋_GB2312" w:hAnsi="宋体" w:eastAsia="仿宋_GB2312"/>
          <w:sz w:val="30"/>
          <w:szCs w:val="30"/>
        </w:rPr>
        <w:fldChar w:fldCharType="begin"/>
      </w:r>
      <w:r>
        <w:rPr>
          <w:rFonts w:hint="eastAsia" w:ascii="仿宋_GB2312" w:hAnsi="宋体" w:eastAsia="仿宋_GB2312"/>
          <w:sz w:val="30"/>
          <w:szCs w:val="30"/>
        </w:rPr>
        <w:instrText xml:space="preserve"> MERGEFIELD title </w:instrText>
      </w:r>
      <w:r>
        <w:rPr>
          <w:rFonts w:hint="eastAsia" w:ascii="仿宋_GB2312" w:hAnsi="宋体" w:eastAsia="仿宋_GB2312"/>
          <w:sz w:val="30"/>
          <w:szCs w:val="30"/>
        </w:rPr>
        <w:fldChar w:fldCharType="separate"/>
      </w:r>
      <w:r>
        <w:rPr>
          <w:rFonts w:hint="eastAsia" w:ascii="仿宋_GB2312" w:hAnsi="宋体" w:eastAsia="仿宋_GB2312"/>
          <w:sz w:val="30"/>
          <w:szCs w:val="30"/>
        </w:rPr>
        <w:t>《关于进一步推动城市商业银行风险处置工作的通知</w:t>
      </w:r>
      <w:r>
        <w:rPr>
          <w:rFonts w:hint="eastAsia" w:ascii="仿宋_GB2312" w:hAnsi="宋体" w:eastAsia="仿宋_GB2312"/>
          <w:sz w:val="30"/>
          <w:szCs w:val="30"/>
        </w:rPr>
        <w:fldChar w:fldCharType="end"/>
      </w:r>
      <w:r>
        <w:rPr>
          <w:rFonts w:hint="eastAsia" w:ascii="仿宋_GB2312" w:hAnsi="宋体" w:eastAsia="仿宋_GB2312"/>
          <w:sz w:val="30"/>
          <w:szCs w:val="30"/>
        </w:rPr>
        <w:t>》（银监办发[2005]262号）、</w:t>
      </w:r>
      <w:r>
        <w:rPr>
          <w:rFonts w:hint="eastAsia" w:ascii="仿宋_GB2312" w:hAnsi="宋体" w:eastAsia="仿宋_GB2312"/>
          <w:sz w:val="30"/>
          <w:szCs w:val="30"/>
        </w:rPr>
        <w:fldChar w:fldCharType="begin"/>
      </w:r>
      <w:r>
        <w:rPr>
          <w:rFonts w:hint="eastAsia" w:ascii="仿宋_GB2312" w:hAnsi="宋体" w:eastAsia="仿宋_GB2312"/>
          <w:sz w:val="30"/>
          <w:szCs w:val="30"/>
        </w:rPr>
        <w:instrText xml:space="preserve"> MERGEFIELD title </w:instrText>
      </w:r>
      <w:r>
        <w:rPr>
          <w:rFonts w:hint="eastAsia" w:ascii="仿宋_GB2312" w:hAnsi="宋体" w:eastAsia="仿宋_GB2312"/>
          <w:sz w:val="30"/>
          <w:szCs w:val="30"/>
        </w:rPr>
        <w:fldChar w:fldCharType="separate"/>
      </w:r>
      <w:r>
        <w:rPr>
          <w:rFonts w:hint="eastAsia" w:ascii="仿宋_GB2312" w:hAnsi="宋体" w:eastAsia="仿宋_GB2312"/>
          <w:sz w:val="30"/>
          <w:szCs w:val="30"/>
        </w:rPr>
        <w:t>《关于加强城市商业银行资产质量监管的通知</w:t>
      </w:r>
      <w:r>
        <w:rPr>
          <w:rFonts w:hint="eastAsia" w:ascii="仿宋_GB2312" w:hAnsi="宋体" w:eastAsia="仿宋_GB2312"/>
          <w:sz w:val="30"/>
          <w:szCs w:val="30"/>
        </w:rPr>
        <w:fldChar w:fldCharType="end"/>
      </w:r>
      <w:r>
        <w:rPr>
          <w:rFonts w:hint="eastAsia" w:ascii="仿宋_GB2312" w:hAnsi="宋体" w:eastAsia="仿宋_GB2312"/>
          <w:sz w:val="30"/>
          <w:szCs w:val="30"/>
        </w:rPr>
        <w:t>》 银监办发[2005]319号、《城市商业银行现场检查指导意见（银监办发[2009]274号》）等法律法规。监管部门的政策指导和扶持对于城商行完善公司治理、加强风险控制、提高经营水平起到了重要的促进作用。</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：监管机构通过建立和完善城商行监管体系，推动城商行完善公司治理，有效降低和化解发展过程中各种风险，为城商行的健康持续发展提供了保障。</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3、1998年3月，经国务院同意，中国人民银行与国家工商行政管理局颁布《关于城市合作银行变更名称有关问题的通知》，进一步明确城市合作银行股份制性质，整体更名为城市商业银行。</w:t>
      </w:r>
    </w:p>
    <w:p>
      <w:pPr>
        <w:rPr>
          <w:rFonts w:ascii="仿宋_GB2312" w:hAnsi="宋体" w:eastAsia="仿宋_GB2312"/>
          <w:sz w:val="30"/>
          <w:szCs w:val="30"/>
        </w:rPr>
      </w:pPr>
      <w:r>
        <w:rPr>
          <w:rFonts w:hint="eastAsia" w:ascii="仿宋_GB2312" w:hAnsi="宋体" w:eastAsia="仿宋_GB2312"/>
          <w:sz w:val="30"/>
          <w:szCs w:val="30"/>
        </w:rPr>
        <w:t xml:space="preserve">    为了在名称上更加体现城市合作银行股份制的特点，继1995年将“xx市城市合作银行”更名为“xx市城市合作商业银行”之后，1998年3月，经国务院同意，中国人民银行与国家工商行政管理局颁布《关于城市合作银行变更名称有关问题的通知》，明确指出“鉴于城市合作银行是股份制银行，不具有‘合作’性质，经国务院同意，将‘xx城市合作银行’名称变更为‘xx市商业银行股份有限公司’，银行在牌匾及广告宣传中可以使用简化名称‘xx市商业银行’”。自此，城市合作银行正式更名为城市商业银行，其主要功能是为本地区经济的发展融通资金，重点为城市发展及社区居民提供金融服务。1998年，上海城市合作银行正式更名为上海银行；2005年，北京银行正式更名。</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：确定了城市商业银行股份制银行的本质，为实施现代化商业银行经营管理模式奠定了基础。</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4、1999年起，城商行引入境外战略投资，开启了以“引资、引智、引技”为核心的境外战略投资者引入模式。</w:t>
      </w:r>
    </w:p>
    <w:p>
      <w:pPr>
        <w:ind w:firstLine="600"/>
        <w:rPr>
          <w:rFonts w:ascii="仿宋_GB2312" w:hAnsi="宋体" w:eastAsia="仿宋_GB2312"/>
          <w:sz w:val="30"/>
          <w:szCs w:val="30"/>
        </w:rPr>
      </w:pPr>
      <w:r>
        <w:rPr>
          <w:rFonts w:hint="eastAsia" w:ascii="仿宋_GB2312" w:hAnsi="宋体" w:eastAsia="仿宋_GB2312"/>
          <w:sz w:val="30"/>
          <w:szCs w:val="30"/>
        </w:rPr>
        <w:t>上海银行于1999年9月成功吸收世界银行集团成员国际金融公司（IFC）参股投资5%的股份，成为国内首家引进外资参股的城商行，同时该项目也成为世界银行集团投资中国银行业的第一个项目；2001年12月，上海银行成功吸收香港上海汇丰银行（HSBC）、上海商业银行（SCB）参股投资和国际金融公司增持股份，外资银行参股比例达到总股本的18%。2001年南京银行以定向增发的方式引入国际金融公司参股。2004年6月，在城市商业银行第五次论坛上，银监会明确鼓励“城市商业银行通过引进境外战略投资者，在整合现有资源基础上，按市场规则和自愿原则进行联合重组，从而提高整体发展水平和市场竞争力”。同年，西安银行引入国际金融公司和加拿大丰业银行作为战略投资者，齐鲁银行引入澳联邦银行作为战略投资者。2005年，北京银行成功引入荷兰国际集团（ING）、国际金融公司（IFC）作为战略投资者，杭州银行成功引入澳联邦银行作为战略投资者，南京银行与法国巴黎银行签署了战略合作协议； 2006年5月，天津银行与澳新银行签订战略合作协议，澳新银行入股比例达20%；2007年，成都银行成功引进马来西亚丰隆银行作为境外战略合作伙伴。截至2014年末，共有17家城市商业银行引进了境外战略投资者。</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：城商行通过引入境外战投的方式，一方面满足了资本要求，另一方面吸收了先进的国际理念，完善了公司治理，提升了经营管理水平。</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5、2000年，首届城商行发展论坛在北京成功举办，此后一年举办一届，2013年更名为城商行年会。城商行发展论坛（年会）是城商行相互交流经验、与监管机构高层沟通反映诉求的具有高度影响力的平台，截至2014年，共举办14届。</w:t>
      </w:r>
    </w:p>
    <w:p>
      <w:pPr>
        <w:rPr>
          <w:rFonts w:ascii="仿宋_GB2312" w:hAnsi="宋体" w:eastAsia="仿宋_GB2312"/>
          <w:sz w:val="30"/>
          <w:szCs w:val="30"/>
        </w:rPr>
      </w:pPr>
      <w:r>
        <w:rPr>
          <w:rFonts w:hint="eastAsia" w:ascii="仿宋_GB2312" w:hAnsi="宋体" w:eastAsia="仿宋_GB2312"/>
          <w:sz w:val="30"/>
          <w:szCs w:val="30"/>
        </w:rPr>
        <w:t xml:space="preserve">    2000年起，在监管部门的关心指导下，城商行按年度轮值举办城商行发展论坛，截至2014年，共举办14届。该论坛是全国范围内城商行出席规格最高、参与范围最广的会议，并成为城商行之间相互交流经验、与监管高层沟通反映诉求的具有高度影响力的平台。2013年，城商行发展论坛更名为城商行年会，并举办了中国银行业协会城商行工作委员会成立仪式，会议首次采用了银监会领导与城商行高管面对面交流、互动的方式，收到了良好的效果。</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随着城商行的不断发展和日益壮大，亟需建立起城商行之间以及城商行与监管机构之间的沟通平台。每届城商行论坛（年会）不但受到城商行重视，同时也受到监管机构、地方领导的高度重视，对于城商行加强交流、反映诉求，解决发展中的现实问题起到了积极作用。</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6、2002年，城商行发起成立“城市商业银行资金清算中心”，有效解决了城商行间跨区域支付和结算问题。</w:t>
      </w:r>
    </w:p>
    <w:p>
      <w:pPr>
        <w:rPr>
          <w:rFonts w:ascii="仿宋_GB2312" w:hAnsi="宋体" w:eastAsia="仿宋_GB2312"/>
          <w:sz w:val="30"/>
          <w:szCs w:val="30"/>
        </w:rPr>
      </w:pPr>
      <w:r>
        <w:rPr>
          <w:rFonts w:hint="eastAsia" w:ascii="仿宋_GB2312" w:hAnsi="宋体" w:eastAsia="仿宋_GB2312"/>
          <w:sz w:val="30"/>
          <w:szCs w:val="30"/>
        </w:rPr>
        <w:t xml:space="preserve">    为解决城商行无法满足的客户跨区域支付与结算、跨区域商业汇票承兑等问题，城商行在2002年9月，共同发起成立了“城市商业银行资金清算中心”。2004年8月资金清算中心正式开通银行汇票资金清算业务，并于10月顺利接入中国现代化支付系统实现实时清算。城商行资金清算中心有效解决了城商行间跨区域支付、结算、汇票承兑等问题，也分散了城商行的经营风险。截至2014年底，城商行清算中心成员单位共计346家。</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：城商行资金清算中心帮助城商行解决了限制城商行发展的资金清算问题，使得城商行顺利满足客户跨区域支付、结算、承兑等要求，降低了跨区域业务成本，增强了客户黏性。</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7、2004年起，城商行探索实践区域性发展。</w:t>
      </w:r>
    </w:p>
    <w:p>
      <w:pPr>
        <w:rPr>
          <w:rFonts w:ascii="仿宋_GB2312" w:hAnsi="宋体" w:eastAsia="仿宋_GB2312"/>
          <w:sz w:val="30"/>
          <w:szCs w:val="30"/>
        </w:rPr>
      </w:pPr>
      <w:r>
        <w:rPr>
          <w:rFonts w:hint="eastAsia" w:ascii="仿宋_GB2312" w:hAnsi="宋体" w:eastAsia="仿宋_GB2312"/>
          <w:sz w:val="30"/>
          <w:szCs w:val="30"/>
        </w:rPr>
        <w:t xml:space="preserve">    随着经济的快速增长，经济一体化程度不断加深，企业经营领域和范围不断扩大，金融服务需求日益提高。为响应国家经济发展的战略规划，更好的为客户提供服务，城商行开始探索实践区域性发展。2004年，哈尔滨银行收购双鸭山城市信用社，在此基础上成立了全国第一家省内异地分行—双鸭山分行，成为全国第一家收购行政区域内城市信用社、设立县域分支机构的城商行。通过整体收购城市信用社也成为省内区域发展的典型方式。2006年，银监会发布了《城市商业银行异地分支机构管理办法》，明确将按照“合理布局、严格标准、稳步推进、注重效益”的基本原则，审批城市商业银行分支机构设立，为城商行区域发展提供了制度依托。2006年4月，上海银行宁波分行正式开业，这是城市商业银行第一家跨省市经营的分行。随后，北京银行、天津银行、南京银行、宁波银行等一批经营管理状况较好、满足审慎监管条件的城商行开始着手进行区域布局。同时，各城商行响应国家政策导向，加大对县域经济和支农金融服务力度，将网点和分支机构设立下沉至县市发达乡镇。截至2014年底，共有46家城商行在省（直辖市）外设立了124家分行；共有106家城商行在省内设立了584家分行。</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：城商行顺应国家经济发展战略，区域化发展有利于优化金融资源配置、分散风险，满足了客户日益增长的金融服务需求。</w:t>
      </w:r>
    </w:p>
    <w:p>
      <w:pPr>
        <w:rPr>
          <w:rFonts w:ascii="仿宋_GB2312" w:hAnsi="宋体" w:eastAsia="仿宋_GB2312"/>
          <w:b/>
          <w:sz w:val="30"/>
          <w:szCs w:val="30"/>
        </w:rPr>
      </w:pPr>
    </w:p>
    <w:p>
      <w:pPr>
        <w:rPr>
          <w:rFonts w:ascii="仿宋_GB2312" w:hAnsi="宋体" w:eastAsia="仿宋_GB2312"/>
          <w:b/>
          <w:sz w:val="30"/>
          <w:szCs w:val="30"/>
        </w:rPr>
      </w:pPr>
      <w:r>
        <w:rPr>
          <w:rFonts w:hint="eastAsia" w:ascii="仿宋_GB2312" w:hAnsi="宋体" w:eastAsia="仿宋_GB2312"/>
          <w:b/>
          <w:sz w:val="30"/>
          <w:szCs w:val="30"/>
        </w:rPr>
        <w:t>8、2005年起，城商行多种方式开展联合重组，实现资源的有效配置。</w:t>
      </w:r>
    </w:p>
    <w:p>
      <w:pPr>
        <w:rPr>
          <w:rFonts w:ascii="仿宋_GB2312" w:hAnsi="宋体" w:eastAsia="仿宋_GB2312"/>
          <w:sz w:val="30"/>
          <w:szCs w:val="30"/>
        </w:rPr>
      </w:pPr>
      <w:r>
        <w:rPr>
          <w:rFonts w:hint="eastAsia" w:ascii="仿宋_GB2312" w:hAnsi="宋体" w:eastAsia="仿宋_GB2312"/>
          <w:sz w:val="30"/>
          <w:szCs w:val="30"/>
        </w:rPr>
        <w:t xml:space="preserve">    2005年，安徽省内13家城市信用社、城商行合并重组为徽商银行；2006年，江苏省10家城商行联合重组而成江苏银行，2007年1月开业；2007年，吉林省的“两行一社”成立了吉林银行。湖北银行、贵州银行、中原银行先后实现省内城商行和部分农信社的联合重组。20年中，城商行进行了一系列的联合重组，一方面拓宽了经营领域和网络，另一方面使被收购兼并的金融机构化解风险，摆脱经营困境，实现了金融资源的重新有效配置。</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：通过联合重组，城商行实现了资源重新有效配置，进一步扩展了服务领域，延伸了服务网络，获得了发展的规模优势。</w:t>
      </w:r>
    </w:p>
    <w:p>
      <w:pPr>
        <w:rPr>
          <w:rFonts w:ascii="仿宋_GB2312" w:hAnsi="宋体" w:eastAsia="仿宋_GB2312"/>
          <w:b/>
          <w:sz w:val="30"/>
          <w:szCs w:val="30"/>
        </w:rPr>
      </w:pPr>
      <w:r>
        <w:rPr>
          <w:rFonts w:hint="eastAsia" w:ascii="仿宋_GB2312" w:hAnsi="宋体" w:eastAsia="仿宋_GB2312"/>
          <w:b/>
          <w:sz w:val="30"/>
          <w:szCs w:val="30"/>
        </w:rPr>
        <w:t>9、2007年，城商行登陆A股市场，开辟了城商行上市先河。2013年，城商行开始走向国际资本市场，部分城商行成功在H股上市。</w:t>
      </w:r>
    </w:p>
    <w:p>
      <w:pPr>
        <w:rPr>
          <w:rFonts w:ascii="仿宋_GB2312" w:hAnsi="宋体" w:eastAsia="仿宋_GB2312"/>
          <w:sz w:val="30"/>
          <w:szCs w:val="30"/>
        </w:rPr>
      </w:pPr>
      <w:r>
        <w:rPr>
          <w:rFonts w:hint="eastAsia" w:ascii="仿宋_GB2312" w:hAnsi="宋体" w:eastAsia="仿宋_GB2312"/>
          <w:sz w:val="30"/>
          <w:szCs w:val="30"/>
        </w:rPr>
        <w:t xml:space="preserve">    随着风险处置、重组改造、引进境外战投以及公司治理的完善，城商行驶入了发展的快车道。一些资产质量好、盈利能力强的城商行纷纷加入了上市大军，成为继国有大型银行和全国性股份制银行上市后，我国上市银行的“第三梯队”。2007年7月，宁波银行和南京银行分别在深圳、上海上市，9月北京银行也顺利登陆上海证券交易所。三家银行的成功上市拉开了城商行的上市序幕，表明我国银行业改革在向纵深演进。2013年-2014年，重庆银行、徽商银行、哈尔滨银行、盛京银行相继完成在香港H股上市，城商行开始走向国际资本市场。2015年6月，齐鲁银行在全国中小企业股份转让系统挂牌。</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通过发行上市，城商行可以建立有效的资本金补充途径，并根据本行的实际情况和战略发展要求，改善公司治理架构，引入市场和公众监督，建立起外部约束机制，来提高城商行的经营效率和稳健度，促进自身全面、协调、可持续发展。</w:t>
      </w:r>
    </w:p>
    <w:p>
      <w:pPr>
        <w:rPr>
          <w:rFonts w:ascii="仿宋_GB2312" w:hAnsi="宋体" w:eastAsia="仿宋_GB2312"/>
          <w:b/>
          <w:sz w:val="30"/>
          <w:szCs w:val="30"/>
        </w:rPr>
      </w:pPr>
    </w:p>
    <w:p>
      <w:pPr>
        <w:rPr>
          <w:rFonts w:ascii="仿宋_GB2312" w:hAnsi="宋体" w:eastAsia="仿宋_GB2312"/>
          <w:b/>
          <w:sz w:val="30"/>
          <w:szCs w:val="30"/>
        </w:rPr>
      </w:pPr>
      <w:r>
        <w:rPr>
          <w:rFonts w:hint="eastAsia" w:ascii="仿宋_GB2312" w:hAnsi="宋体" w:eastAsia="仿宋_GB2312"/>
          <w:b/>
          <w:sz w:val="30"/>
          <w:szCs w:val="30"/>
        </w:rPr>
        <w:t>10、2007年起，城商行开办村镇银行，大力支持农村金融建设。</w:t>
      </w:r>
    </w:p>
    <w:p>
      <w:pPr>
        <w:rPr>
          <w:rFonts w:ascii="仿宋_GB2312" w:hAnsi="宋体" w:eastAsia="仿宋_GB2312"/>
          <w:sz w:val="30"/>
          <w:szCs w:val="30"/>
        </w:rPr>
      </w:pPr>
      <w:r>
        <w:rPr>
          <w:rFonts w:hint="eastAsia" w:ascii="仿宋_GB2312" w:hAnsi="宋体" w:eastAsia="仿宋_GB2312"/>
          <w:sz w:val="30"/>
          <w:szCs w:val="30"/>
        </w:rPr>
        <w:t xml:space="preserve">    2006年12月，银监会下发《关于调整放宽农村地区银行业金融机构准入政策更好支持社会主义新农村建设的若干意见》，村镇银行政策开闸。2007年3月，首批3家村镇银行——四川仪陇惠民村镇银行、吉林磐石融丰村镇银行、吉林东丰诚信村镇银行正式成立。四川仪陇惠民村镇银行由南充市商业银行发起设立，占股50%，成为国内首家村镇银行；吉林磐石融丰村镇银行由吉林市商业银行发起，会同88名自然人投资组建。随后的几年时间里，城商行成为村镇银行的主要发起人，截至2014年底，城商行在全国共发起设立380家村镇银行。</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：城商行积极参与村镇银行试点建设，将服务领域从城市延伸至农村，践行了服务大众、普惠金融的社会责任。</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11、2009年起，城商行陆续取得多种非银行金融机构牌照及业务资格，进一步拓宽了经营领域。</w:t>
      </w:r>
    </w:p>
    <w:p>
      <w:pPr>
        <w:ind w:firstLine="600" w:firstLineChars="200"/>
        <w:rPr>
          <w:rFonts w:ascii="仿宋_GB2312" w:hAnsi="宋体" w:eastAsia="仿宋_GB2312"/>
          <w:sz w:val="30"/>
          <w:szCs w:val="30"/>
        </w:rPr>
      </w:pPr>
      <w:r>
        <w:rPr>
          <w:rFonts w:hint="eastAsia" w:ascii="仿宋_GB2312" w:hAnsi="宋体" w:eastAsia="仿宋_GB2312"/>
          <w:sz w:val="30"/>
          <w:szCs w:val="30"/>
        </w:rPr>
        <w:t>2003年，《商业银行法》修订，取消了商业银行跨业经营的全面禁止规定，允许在一定条件下从事综合化经营活动。国有银行和股份制商业银行综合化进程不断加速，部分城商行在坚持“服务中小、服务市民、服务地方”战略定位的基础上，也积极争取各类市场资格。2009年5月，南京银行参股江苏金融租赁有限公司,持股比例35%，在国内率先探索城商行“银租合作”；2009年，徽商银行和奇瑞汽车合作成立了汽车金融公司——奇瑞徽银汽车金融公司。奇瑞徽银汽车金融公司注册资金10亿元，是国内第一家自主品牌汽车厂商与本土银行联合成立的汽车金融公司；2010年，北京银行成功收购北京首创集团持有的首创安泰人寿50%的股权，将其更名为中荷人寿保险公司，成为第一家入股保险公司的中小银行，开创了城商行进军保险业的先河。2010年3月，由北京银行独资设立的国内首家消费金融公司——北银消费金融公司正式成立；2013年3月，第一家由城商行入股的基金公司——中加基金管理公司成立，该基金公司由北京银行会同加拿大丰业银行、北京有色金融研究总院共同出资设立。作为第一家城商行筹建金融租赁公司，2014年1月，北京银行全资子公司——北银金融租赁有限公司正式成立。2013年下半年，北京银行、哈尔滨银行和台州银行3家城商行入围第二批信贷资产证券化试点，成为资产证券化再度开闸后首获发行的城商行。截至2015年6月，共有25家城商行获得资格。</w:t>
      </w:r>
    </w:p>
    <w:p>
      <w:pPr>
        <w:rPr>
          <w:rFonts w:ascii="仿宋_GB2312" w:hAnsi="宋体" w:eastAsia="仿宋_GB2312"/>
          <w:sz w:val="30"/>
          <w:szCs w:val="30"/>
          <w:highlight w:val="yellow"/>
        </w:rPr>
      </w:pPr>
      <w:r>
        <w:rPr>
          <w:rFonts w:hint="eastAsia" w:ascii="仿宋_GB2312" w:hAnsi="宋体" w:eastAsia="仿宋_GB2312"/>
          <w:b/>
          <w:sz w:val="30"/>
          <w:szCs w:val="30"/>
        </w:rPr>
        <w:t>入选理由</w:t>
      </w:r>
      <w:r>
        <w:rPr>
          <w:rFonts w:hint="eastAsia" w:ascii="仿宋_GB2312" w:hAnsi="宋体" w:eastAsia="仿宋_GB2312"/>
          <w:sz w:val="30"/>
          <w:szCs w:val="30"/>
        </w:rPr>
        <w:t>：为适应日益激烈的市场竞争，满足客户多元化、综合化、个性化的内在需求，城商行积极探索多样化经营，服务手段不断完善，服务水平不断提升。</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12、城商行积极探索国际化经营，大力发展外汇业务，推进跨境人民币服务，稳步推进国际化布局。</w:t>
      </w:r>
    </w:p>
    <w:p>
      <w:pPr>
        <w:rPr>
          <w:rFonts w:ascii="仿宋_GB2312" w:hAnsi="宋体" w:eastAsia="仿宋_GB2312"/>
          <w:sz w:val="30"/>
          <w:szCs w:val="30"/>
        </w:rPr>
      </w:pPr>
      <w:r>
        <w:rPr>
          <w:rFonts w:hint="eastAsia" w:ascii="仿宋_GB2312" w:hAnsi="宋体" w:eastAsia="仿宋_GB2312"/>
          <w:sz w:val="30"/>
          <w:szCs w:val="30"/>
        </w:rPr>
        <w:t xml:space="preserve">    伴随全球经济一体化进程的加快，为满足客户走出去的市场需求，城商行积极探索国际化经营。1997年，上海银行取得国家外汇管理局经营外汇业务许可证，成为全国首家开办外汇业务的城市商业银行。2008年，北京银行在香港设立代表处，成为第一家在境外设立代表处的城商行。2013年，上海银行首家境外机构—上海银行（香港）有限公司开业，这是城商行首次在境外设立分支机构。2014年，由富滇银行、老挝外贸银行合资成立的老中银行在老挝首都万象正式开业，这是老挝央行批准的首家中老合资金融机构，也是中国银监会批准城商行在国外设立的首家合资机构。截至2014年末，北京银行、上海银行、富滇银行、东莞银行、厦门国际银行5家城商行在境外设立了机构。此外，哈尔滨银行依托独特的区位优势开展对俄金融服务，成为全国银行间外汇市场三家人民币对卢布交易做市商之一，成立全国最大的卢布现钞兑换机构，兑换量占全国的90%。富滇银行泰铢业务形成特色，是全国第一家获得外币现钞跨境调运资格的城市商业银行。</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：城商行开展国际化经营是适应国家走出去发展战略、走出国门、迈向世界的必然选择，也是城商行结合自身发展战略，提升经营能力的重要战略部署。</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13、2012年，为支持西藏地区社会经济发展，西藏银行特批成立。</w:t>
      </w:r>
    </w:p>
    <w:p>
      <w:pPr>
        <w:ind w:firstLine="600"/>
        <w:rPr>
          <w:rFonts w:ascii="仿宋_GB2312" w:hAnsi="宋体" w:eastAsia="仿宋_GB2312"/>
          <w:sz w:val="30"/>
          <w:szCs w:val="30"/>
        </w:rPr>
      </w:pPr>
      <w:r>
        <w:rPr>
          <w:rFonts w:ascii="仿宋_GB2312" w:hAnsi="宋体" w:eastAsia="仿宋_GB2312"/>
          <w:sz w:val="30"/>
          <w:szCs w:val="30"/>
        </w:rPr>
        <w:t>2011年12月，西藏银行获得金融许可证和企业法人营业执照，2012年5月，西藏银行正式在拉萨营业</w:t>
      </w:r>
      <w:r>
        <w:rPr>
          <w:rFonts w:hint="eastAsia" w:ascii="仿宋_GB2312" w:hAnsi="宋体" w:eastAsia="仿宋_GB2312"/>
          <w:sz w:val="30"/>
          <w:szCs w:val="30"/>
        </w:rPr>
        <w:t>。交通银行对西藏银行持股比例为20%，成都银行持股10%。西藏银行是</w:t>
      </w:r>
      <w:r>
        <w:fldChar w:fldCharType="begin"/>
      </w:r>
      <w:r>
        <w:instrText xml:space="preserve">HYPERLINK "http://baike.baidu.com/view/9431.htm" \t "_blank" </w:instrText>
      </w:r>
      <w:r>
        <w:fldChar w:fldCharType="separate"/>
      </w:r>
      <w:r>
        <w:rPr>
          <w:rFonts w:ascii="仿宋_GB2312" w:hAnsi="宋体" w:eastAsia="仿宋_GB2312"/>
          <w:sz w:val="30"/>
          <w:szCs w:val="30"/>
        </w:rPr>
        <w:t>西藏自治区</w:t>
      </w:r>
      <w:r>
        <w:fldChar w:fldCharType="end"/>
      </w:r>
      <w:r>
        <w:rPr>
          <w:rFonts w:ascii="仿宋_GB2312" w:hAnsi="宋体" w:eastAsia="仿宋_GB2312"/>
          <w:sz w:val="30"/>
          <w:szCs w:val="30"/>
        </w:rPr>
        <w:t>首家地方法人银行机构，在此之前，西藏自治区仅有工行、农行、中行、建行和邮政储蓄银行等5家商业银行的分支机构，且大部分集中在地(市)以上，县以下金融体系发育不完全，金融机构数量少，金融服务品种十分有限。</w:t>
      </w:r>
      <w:r>
        <w:rPr>
          <w:rFonts w:hint="eastAsia" w:ascii="仿宋_GB2312" w:hAnsi="宋体" w:eastAsia="仿宋_GB2312"/>
          <w:sz w:val="30"/>
          <w:szCs w:val="30"/>
        </w:rPr>
        <w:t>西藏银行成立填补了空白，有利于完善西藏金融服务体系，改进中小企业金融服务，</w:t>
      </w:r>
      <w:r>
        <w:rPr>
          <w:rFonts w:ascii="仿宋_GB2312" w:hAnsi="宋体" w:eastAsia="仿宋_GB2312"/>
          <w:sz w:val="30"/>
          <w:szCs w:val="30"/>
        </w:rPr>
        <w:t>促进西藏经济健康发展</w:t>
      </w:r>
      <w:r>
        <w:rPr>
          <w:rFonts w:hint="eastAsia" w:ascii="仿宋_GB2312" w:hAnsi="宋体" w:eastAsia="仿宋_GB2312"/>
          <w:sz w:val="30"/>
          <w:szCs w:val="30"/>
        </w:rPr>
        <w:t>。</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：西藏银行的成立是银监会贯彻落实党中央、国务院关于支持西藏发展的意见要求的具体体现，有利于加大金融支持西藏发展的力度，进一步丰富和完善藏区金融市场，对西藏自治区经济发展发挥积极促进作用。</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14、2013年，中国银行业协会城商行工作委员会成立，搭建起城商行群体合作交流的统一平台。</w:t>
      </w:r>
    </w:p>
    <w:p>
      <w:pPr>
        <w:rPr>
          <w:rFonts w:ascii="仿宋_GB2312" w:hAnsi="宋体" w:eastAsia="仿宋_GB2312"/>
          <w:sz w:val="30"/>
          <w:szCs w:val="30"/>
        </w:rPr>
      </w:pPr>
      <w:r>
        <w:rPr>
          <w:rFonts w:hint="eastAsia" w:ascii="仿宋_GB2312" w:hAnsi="宋体" w:eastAsia="仿宋_GB2312"/>
          <w:sz w:val="30"/>
          <w:szCs w:val="30"/>
        </w:rPr>
        <w:t xml:space="preserve">    2013年6月，中国银行业协会城商行工作委员会宣布正式成立，标志着一个专门为广大城商行群体服务的平台诞生。</w:t>
      </w:r>
      <w:r>
        <w:rPr>
          <w:rFonts w:ascii="仿宋_GB2312" w:hAnsi="宋体" w:eastAsia="仿宋_GB2312"/>
          <w:sz w:val="30"/>
          <w:szCs w:val="30"/>
        </w:rPr>
        <w:t>城商行委员会以畅通成员单位相互沟通渠道</w:t>
      </w:r>
      <w:r>
        <w:rPr>
          <w:rFonts w:hint="eastAsia" w:ascii="仿宋_GB2312" w:hAnsi="宋体" w:eastAsia="仿宋_GB2312"/>
          <w:sz w:val="30"/>
          <w:szCs w:val="30"/>
        </w:rPr>
        <w:t>、</w:t>
      </w:r>
      <w:r>
        <w:rPr>
          <w:rFonts w:ascii="仿宋_GB2312" w:hAnsi="宋体" w:eastAsia="仿宋_GB2312"/>
          <w:sz w:val="30"/>
          <w:szCs w:val="30"/>
        </w:rPr>
        <w:t>维护成员单位合法权益</w:t>
      </w:r>
      <w:r>
        <w:rPr>
          <w:rFonts w:hint="eastAsia" w:ascii="仿宋_GB2312" w:hAnsi="宋体" w:eastAsia="仿宋_GB2312"/>
          <w:sz w:val="30"/>
          <w:szCs w:val="30"/>
        </w:rPr>
        <w:t>、</w:t>
      </w:r>
      <w:r>
        <w:rPr>
          <w:rFonts w:ascii="仿宋_GB2312" w:hAnsi="宋体" w:eastAsia="仿宋_GB2312"/>
          <w:sz w:val="30"/>
          <w:szCs w:val="30"/>
        </w:rPr>
        <w:t>维护城商行金融市场秩序</w:t>
      </w:r>
      <w:r>
        <w:rPr>
          <w:rFonts w:hint="eastAsia" w:ascii="仿宋_GB2312" w:hAnsi="宋体" w:eastAsia="仿宋_GB2312"/>
          <w:sz w:val="30"/>
          <w:szCs w:val="30"/>
        </w:rPr>
        <w:t>、</w:t>
      </w:r>
      <w:r>
        <w:rPr>
          <w:rFonts w:ascii="仿宋_GB2312" w:hAnsi="宋体" w:eastAsia="仿宋_GB2312"/>
          <w:sz w:val="30"/>
          <w:szCs w:val="30"/>
        </w:rPr>
        <w:t>促进城商行稳健持续发展为宗旨</w:t>
      </w:r>
      <w:r>
        <w:rPr>
          <w:rFonts w:hint="eastAsia" w:ascii="仿宋_GB2312" w:hAnsi="宋体" w:eastAsia="仿宋_GB2312"/>
          <w:sz w:val="30"/>
          <w:szCs w:val="30"/>
        </w:rPr>
        <w:t>。成立以来，在中国银行业协会的正确指导和监管部门的大力支持下，在全体成员单位的共同努力下，围绕“自律、维权、协调、服务”的核心职能，各项工作有序开展、稳步推进。</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工作委员会成立顺应了广大城商行的诉求，成立两年以来，在对内推动交流合作、对外传递行业声音、与监管机构及社会各方沟通等方面做了大量工作。委员会平台的凝聚作用和社会影响日益扩大，对于推动行业的健康持续发展起到了重要作用。</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15、城商行服务地方，大力支持区域经济建设。</w:t>
      </w:r>
    </w:p>
    <w:p>
      <w:pPr>
        <w:rPr>
          <w:rFonts w:ascii="仿宋_GB2312" w:hAnsi="宋体" w:eastAsia="仿宋_GB2312"/>
          <w:sz w:val="30"/>
          <w:szCs w:val="30"/>
        </w:rPr>
      </w:pPr>
      <w:r>
        <w:rPr>
          <w:rFonts w:hint="eastAsia" w:ascii="仿宋_GB2312" w:hAnsi="宋体" w:eastAsia="仿宋_GB2312"/>
          <w:sz w:val="30"/>
          <w:szCs w:val="30"/>
        </w:rPr>
        <w:t xml:space="preserve">    20年来，城商行植根地方，围绕当地产业特点，积极探索创新，在金融支持地方经济发展中发挥了重要作用。在经济周期波动出现回调的时期，各地城商行恪守服务宗旨，克服各种困难，向处于困境的地方中小企业伸出援手，与企业共渡难关，获得了社会普遍赞誉。积极响应国家区域经济发展战略，参与京津冀、长三角、珠三角、西部大开发等国家重点区域建设，制定切实可行的规划，加快网点建设，加大资金投入，支持了大批重点项目建设。仅2014年，各家城商行贷款总规模达7.38万亿，为地方经济发展发挥了重要作用。</w:t>
      </w:r>
    </w:p>
    <w:p>
      <w:pPr>
        <w:rPr>
          <w:rFonts w:ascii="仿宋_GB2312" w:hAnsi="宋体" w:eastAsia="仿宋_GB2312"/>
          <w:sz w:val="30"/>
          <w:szCs w:val="30"/>
        </w:rPr>
      </w:pPr>
      <w:r>
        <w:rPr>
          <w:rFonts w:hint="eastAsia" w:ascii="仿宋_GB2312" w:hAnsi="宋体" w:eastAsia="仿宋_GB2312"/>
          <w:sz w:val="30"/>
          <w:szCs w:val="30"/>
        </w:rPr>
        <w:t>入选理由：服务地方是城商行作为地方性商业银行的天然使命，更是城商行在地方经济和区域经济建设中履行必要社会责任的体现。</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16、城商行聚焦中小、服务中小、深耕中小，全力解决中小企业融资难和融资贵的问题。</w:t>
      </w:r>
    </w:p>
    <w:p>
      <w:pPr>
        <w:rPr>
          <w:rFonts w:ascii="仿宋_GB2312" w:hAnsi="宋体" w:eastAsia="仿宋_GB2312"/>
          <w:sz w:val="30"/>
          <w:szCs w:val="30"/>
        </w:rPr>
      </w:pPr>
      <w:r>
        <w:rPr>
          <w:rFonts w:hint="eastAsia" w:ascii="仿宋_GB2312" w:hAnsi="宋体" w:eastAsia="仿宋_GB2312"/>
          <w:sz w:val="30"/>
          <w:szCs w:val="30"/>
        </w:rPr>
        <w:t xml:space="preserve">    20年来，城商行大力支持中小企业发展，扶植实体经济。全国城商行普遍设立为中小企业金融服务专营机构，根据“六项机制”落实建立了解决中小企业融资难的制度保障，不断改善贷款审批规范流程，根据中小微企业“短、小、频、急”的融资需求，加强技术平台支持力度，优化人力资源配置，效果显著。台州市各城商行在2008年金融危机时对中小企业雪中送炭，浙江泰隆银行数次受到国家领导人接见，2014年李克强总理在浙江泰隆银行召开现场会议，对城商行小微金融服务予以肯定。哈尔滨银行是最早开展小额信贷业务的城市商业银行之一，并实现中国首家向其他银行同业机构输出小额信贷及技术。江苏银行与江苏省科技部门合作，共同创新开展了“科技之星”业务。北京银行在中关村国家自主创新示范区设立国内金融业第一家科技分行，为近6000家科技型小微企业提供贷款超过1000亿元。汉口银行在武汉东湖国家自主创新示范区，设立全国首家科技金融服务中心，搭建“1+N”的一站式服务平台，显著提高了科技金融服务效率。杭州银行开展文创产业小微企业金融业务，推出一整套适合文创小微企业的产品。截至2014年底，城商行小微贷款余额为3</w:t>
      </w:r>
      <w:r>
        <w:rPr>
          <w:rFonts w:ascii="仿宋_GB2312" w:hAnsi="宋体" w:eastAsia="仿宋_GB2312"/>
          <w:sz w:val="30"/>
          <w:szCs w:val="30"/>
        </w:rPr>
        <w:t>.21</w:t>
      </w:r>
      <w:r>
        <w:rPr>
          <w:rFonts w:hint="eastAsia" w:ascii="仿宋_GB2312" w:hAnsi="宋体" w:eastAsia="仿宋_GB2312"/>
          <w:sz w:val="30"/>
          <w:szCs w:val="30"/>
        </w:rPr>
        <w:t>万亿元，占城商行全部贷款余额的41.2%。城商行小微企业贷款连续</w:t>
      </w:r>
      <w:r>
        <w:rPr>
          <w:rFonts w:ascii="仿宋_GB2312" w:hAnsi="宋体" w:eastAsia="仿宋_GB2312"/>
          <w:sz w:val="30"/>
          <w:szCs w:val="30"/>
        </w:rPr>
        <w:t>6</w:t>
      </w:r>
      <w:r>
        <w:rPr>
          <w:rFonts w:hint="eastAsia" w:ascii="仿宋_GB2312" w:hAnsi="宋体" w:eastAsia="仿宋_GB2312"/>
          <w:sz w:val="30"/>
          <w:szCs w:val="30"/>
        </w:rPr>
        <w:t>年实现“增量不低于上年、增速不低于各项贷款平均增速”的“两个不低于”目标。</w:t>
      </w:r>
    </w:p>
    <w:p>
      <w:pPr>
        <w:rPr>
          <w:rFonts w:ascii="仿宋_GB2312" w:hAnsi="宋体" w:eastAsia="仿宋_GB2312"/>
          <w:sz w:val="30"/>
          <w:szCs w:val="30"/>
        </w:rPr>
      </w:pPr>
      <w:r>
        <w:rPr>
          <w:rFonts w:hint="eastAsia" w:ascii="仿宋_GB2312" w:hAnsi="宋体" w:eastAsia="仿宋_GB2312"/>
          <w:sz w:val="30"/>
          <w:szCs w:val="30"/>
        </w:rPr>
        <w:t>入选理由：城商行从成立之初就确立了服务中小企业这一市场定位，20年的发展历程中，城商行担任了银行业服务中小企业的中坚力量，与中小企业共成长、同患难，有力地支持了中小企业的发展，推动了实体经济的增长。</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17、城商行服务市民，发展社区金融，做细社区市场。</w:t>
      </w:r>
    </w:p>
    <w:p>
      <w:pPr>
        <w:rPr>
          <w:rFonts w:ascii="仿宋_GB2312" w:hAnsi="宋体" w:eastAsia="仿宋_GB2312"/>
          <w:sz w:val="30"/>
          <w:szCs w:val="30"/>
        </w:rPr>
      </w:pPr>
      <w:r>
        <w:rPr>
          <w:rFonts w:hint="eastAsia" w:ascii="仿宋_GB2312" w:hAnsi="宋体" w:eastAsia="仿宋_GB2312"/>
          <w:sz w:val="30"/>
          <w:szCs w:val="30"/>
        </w:rPr>
        <w:t xml:space="preserve">    服务市民是城商行的基本定位之一，城商行深入城市社区和居民，为公众提供了大量形式多样的社区金融服务：一是走进社区设立网点，发展独具特色的“社区银行”，开展一系列便民服务，使居民“足不出户”就可享受方便快捷的金融服务。二是针对特定人群开展保障性住房金融服务，并采取差异化政策提供安居工程信贷支持、保障性住房按揭。三是与政府、担保公司、企业等的合作，提供个人创业（助业）贷款，促进个人创业与再就业。四是发展消费信贷。执行差别化住房信贷政策，加大对刚性和改善型住房需求的金融支持力度。提供购车、教育、旅游等生活消费贷款。五是支持助学事业，帮助贫困家庭提供助学贷款。六是支持社区医疗与新型农村合作医疗发展。截至2014年底，城商行设立分行数量达708家，为广大市民提供了全方位的金融服务。</w:t>
      </w:r>
    </w:p>
    <w:p>
      <w:pPr>
        <w:rPr>
          <w:rFonts w:ascii="仿宋_GB2312" w:hAnsi="宋体" w:eastAsia="仿宋_GB2312"/>
          <w:sz w:val="30"/>
          <w:szCs w:val="30"/>
        </w:rPr>
      </w:pPr>
      <w:r>
        <w:rPr>
          <w:rFonts w:hint="eastAsia" w:ascii="仿宋_GB2312" w:hAnsi="宋体" w:eastAsia="仿宋_GB2312"/>
          <w:sz w:val="30"/>
          <w:szCs w:val="30"/>
        </w:rPr>
        <w:t>入选理由：深入社区、服务市民是城商行的天职，在城商行的发展过程中，城商行不仅为市民百姓提供了多种多样的金融产品，服务市民的形象更深入人心，成为城商行发展的重要基础之一。</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18、城商行积极探索互联网金融。</w:t>
      </w:r>
    </w:p>
    <w:p>
      <w:pPr>
        <w:rPr>
          <w:rFonts w:ascii="仿宋_GB2312" w:hAnsi="宋体" w:eastAsia="仿宋_GB2312"/>
          <w:sz w:val="30"/>
          <w:szCs w:val="30"/>
        </w:rPr>
      </w:pPr>
      <w:r>
        <w:rPr>
          <w:rFonts w:hint="eastAsia" w:ascii="仿宋_GB2312" w:hAnsi="宋体" w:eastAsia="仿宋_GB2312"/>
          <w:sz w:val="30"/>
          <w:szCs w:val="30"/>
        </w:rPr>
        <w:t xml:space="preserve">    面对互联网金融给传统金融带来的巨大挑战和发展机遇，银行业全面加快了战略调整步伐，城商行顺应互联网金融发展趋势，全面推广电子银行，推出涵盖网上银行、手机银行、自助银行、电话银行、短信银行、微信银行等一系列产品,并陆续涉足直销银行业务。2013年，北京银行在国内首家推出直销银行业务。此后，上海银行、南京银行、江苏银行、重庆银行、</w:t>
      </w:r>
      <w:r>
        <w:fldChar w:fldCharType="begin"/>
      </w:r>
      <w:r>
        <w:instrText xml:space="preserve">HYPERLINK "http://gongsi.hexun.com/fc_834.shtml" \t "_blank" </w:instrText>
      </w:r>
      <w:r>
        <w:fldChar w:fldCharType="separate"/>
      </w:r>
      <w:r>
        <w:rPr>
          <w:rFonts w:hint="eastAsia" w:ascii="仿宋_GB2312" w:hAnsi="宋体" w:eastAsia="仿宋_GB2312"/>
          <w:sz w:val="30"/>
          <w:szCs w:val="30"/>
        </w:rPr>
        <w:t>包商银行</w:t>
      </w:r>
      <w:r>
        <w:fldChar w:fldCharType="end"/>
      </w:r>
      <w:r>
        <w:rPr>
          <w:rFonts w:hint="eastAsia" w:ascii="仿宋_GB2312" w:hAnsi="宋体" w:eastAsia="仿宋_GB2312"/>
          <w:sz w:val="30"/>
          <w:szCs w:val="30"/>
        </w:rPr>
        <w:t>、珠海华润银行和广东南粤银行等城商行均推出直销银行业务。城商行向互联网金融迈出了关键性的步伐。</w:t>
      </w:r>
    </w:p>
    <w:p>
      <w:pPr>
        <w:rPr>
          <w:rFonts w:ascii="仿宋_GB2312" w:hAnsi="宋体" w:eastAsia="仿宋_GB2312"/>
          <w:sz w:val="30"/>
          <w:szCs w:val="30"/>
        </w:rPr>
      </w:pPr>
      <w:r>
        <w:rPr>
          <w:rFonts w:hint="eastAsia" w:ascii="仿宋_GB2312" w:hAnsi="宋体" w:eastAsia="仿宋_GB2312"/>
          <w:sz w:val="30"/>
          <w:szCs w:val="30"/>
        </w:rPr>
        <w:t>入选理由：互联网金融的兴起促进了城商行加快调整经营模式、推进战略转型，同时有利于弥补城商行在经营地域和服务范围上的限制，为城商行进一步发展提供了空间。城商行立足实际，抓住机遇，主动变革，推出创新互联网金融产品，为自身发展创造了良好机遇。</w:t>
      </w:r>
    </w:p>
    <w:p>
      <w:pPr>
        <w:rPr>
          <w:rFonts w:ascii="仿宋_GB2312" w:hAnsi="宋体" w:eastAsia="仿宋_GB2312"/>
          <w:sz w:val="30"/>
          <w:szCs w:val="30"/>
        </w:rPr>
      </w:pPr>
    </w:p>
    <w:p>
      <w:pPr>
        <w:rPr>
          <w:rFonts w:ascii="仿宋_GB2312" w:hAnsi="宋体" w:eastAsia="仿宋_GB2312"/>
          <w:b/>
          <w:sz w:val="30"/>
          <w:szCs w:val="30"/>
        </w:rPr>
      </w:pPr>
      <w:r>
        <w:rPr>
          <w:rFonts w:hint="eastAsia" w:ascii="仿宋_GB2312" w:hAnsi="宋体" w:eastAsia="仿宋_GB2312"/>
          <w:b/>
          <w:sz w:val="30"/>
          <w:szCs w:val="30"/>
        </w:rPr>
        <w:t>19、城商行摆脱历史包袱，不断发展壮大，截至2014年底，城商行总数达133家，总资产规模达18.08万亿元，占银行业资产总额的10.49%，其中北京银行、上海银行和江苏银行总资产规模均已过万亿。</w:t>
      </w:r>
    </w:p>
    <w:p>
      <w:pPr>
        <w:rPr>
          <w:rFonts w:ascii="仿宋_GB2312" w:hAnsi="宋体" w:eastAsia="仿宋_GB2312"/>
          <w:sz w:val="30"/>
          <w:szCs w:val="30"/>
        </w:rPr>
      </w:pPr>
      <w:r>
        <w:rPr>
          <w:rFonts w:hint="eastAsia" w:ascii="仿宋_GB2312" w:hAnsi="宋体" w:eastAsia="仿宋_GB2312"/>
          <w:sz w:val="30"/>
          <w:szCs w:val="30"/>
        </w:rPr>
        <w:t xml:space="preserve">    由于承接了原城市信用社累积的金融风险，新建的城市商业银行在开业之初便背负了沉重的历史包袱。城商行结合自身实际情况，采取方法多样、形式各异的方式，成功消化了巨额不良资产，化解了风险。20年来，伴随经济的快速发展，在全体城商行的共同努力下，城商行逐渐发展壮大，公司治理不断完善，风险抵御能力不断增强，近10年来的不良贷款率持续低于全国银行业平均水平，经营能力不断提高，在银行业中的市场份额不断增加，成为我国商业银行业体系中富有生机和活力的群体。截至2014年底，城商行总数达133家，总资产规模达18.08万亿元，为1995年的40倍，占银行业资产总额的10.49% ，北京银行、上海银行和江苏银行总资产规模均已过万亿。</w:t>
      </w:r>
    </w:p>
    <w:p>
      <w:pPr>
        <w:rPr>
          <w:rFonts w:ascii="仿宋_GB2312" w:hAnsi="宋体" w:eastAsia="仿宋_GB2312"/>
          <w:sz w:val="30"/>
          <w:szCs w:val="30"/>
        </w:rPr>
      </w:pPr>
      <w:r>
        <w:rPr>
          <w:rFonts w:hint="eastAsia" w:ascii="仿宋_GB2312" w:hAnsi="宋体" w:eastAsia="仿宋_GB2312"/>
          <w:b/>
          <w:sz w:val="30"/>
          <w:szCs w:val="30"/>
        </w:rPr>
        <w:t>入选理由</w:t>
      </w:r>
      <w:r>
        <w:rPr>
          <w:rFonts w:hint="eastAsia" w:ascii="仿宋_GB2312" w:hAnsi="宋体" w:eastAsia="仿宋_GB2312"/>
          <w:sz w:val="30"/>
          <w:szCs w:val="30"/>
        </w:rPr>
        <w:t>：城商行历经二十年的发展，涅</w:t>
      </w:r>
      <w:r>
        <w:rPr>
          <w:rFonts w:hint="eastAsia" w:ascii="仿宋_GB2312" w:hAnsi="宋体"/>
          <w:sz w:val="30"/>
          <w:szCs w:val="30"/>
        </w:rPr>
        <w:t>槃</w:t>
      </w:r>
      <w:r>
        <w:rPr>
          <w:rFonts w:hint="eastAsia" w:ascii="仿宋_GB2312" w:hAnsi="宋体" w:eastAsia="仿宋_GB2312"/>
          <w:sz w:val="30"/>
          <w:szCs w:val="30"/>
        </w:rPr>
        <w:t>重生，取得骄人成绩。资产总额占银行业总资产的份额逐年递增，部分城商行资产规模突破万亿元，标志着城商行的经营和发展站上了新的台阶。</w:t>
      </w:r>
    </w:p>
    <w:p>
      <w:pPr>
        <w:rPr>
          <w:rFonts w:ascii="仿宋_GB2312" w:hAnsi="宋体" w:eastAsia="仿宋_GB2312"/>
          <w:sz w:val="30"/>
          <w:szCs w:val="30"/>
        </w:rPr>
      </w:pPr>
    </w:p>
    <w:p>
      <w:pPr>
        <w:rPr>
          <w:rFonts w:ascii="仿宋_GB2312" w:hAnsi="宋体" w:eastAsia="仿宋_GB2312"/>
          <w:sz w:val="30"/>
          <w:szCs w:val="30"/>
        </w:rPr>
      </w:pPr>
      <w:r>
        <w:rPr>
          <w:rFonts w:hint="eastAsia" w:ascii="仿宋_GB2312" w:hAnsi="宋体" w:eastAsia="仿宋_GB2312"/>
          <w:b/>
          <w:sz w:val="30"/>
          <w:szCs w:val="30"/>
        </w:rPr>
        <w:t>20、民营银行获批成立</w:t>
      </w:r>
      <w:r>
        <w:rPr>
          <w:rFonts w:ascii="仿宋_GB2312" w:hAnsi="宋体" w:eastAsia="仿宋_GB2312"/>
          <w:b/>
          <w:sz w:val="30"/>
          <w:szCs w:val="30"/>
        </w:rPr>
        <w:br/>
      </w:r>
      <w:r>
        <w:rPr>
          <w:rFonts w:hint="eastAsia" w:ascii="仿宋_GB2312" w:hAnsi="宋体" w:eastAsia="仿宋_GB2312"/>
          <w:sz w:val="30"/>
          <w:szCs w:val="30"/>
        </w:rPr>
        <w:t xml:space="preserve">    2013年9月，国务院办公厅发布《关于金融支持经济结构调整和转型升级的指导意见》明确提出，尝试由民间资本发起设立自担风险的民营银行、金融租赁公司和消费金融公司等金融机构。2014年</w:t>
      </w:r>
      <w:r>
        <w:rPr>
          <w:rFonts w:ascii="仿宋_GB2312" w:hAnsi="宋体" w:eastAsia="仿宋_GB2312"/>
          <w:sz w:val="30"/>
          <w:szCs w:val="30"/>
        </w:rPr>
        <w:t>3月，国务院批准5</w:t>
      </w:r>
      <w:r>
        <w:rPr>
          <w:rFonts w:hint="eastAsia" w:ascii="仿宋_GB2312" w:hAnsi="宋体" w:eastAsia="仿宋_GB2312"/>
          <w:sz w:val="30"/>
          <w:szCs w:val="30"/>
        </w:rPr>
        <w:t>家</w:t>
      </w:r>
      <w:r>
        <w:rPr>
          <w:rFonts w:ascii="仿宋_GB2312" w:hAnsi="宋体" w:eastAsia="仿宋_GB2312"/>
          <w:sz w:val="30"/>
          <w:szCs w:val="30"/>
        </w:rPr>
        <w:t>民营银行试点方案</w:t>
      </w:r>
      <w:r>
        <w:rPr>
          <w:rFonts w:hint="eastAsia" w:ascii="仿宋_GB2312" w:hAnsi="宋体" w:eastAsia="仿宋_GB2312"/>
          <w:sz w:val="30"/>
          <w:szCs w:val="30"/>
        </w:rPr>
        <w:t>，</w:t>
      </w:r>
      <w:r>
        <w:rPr>
          <w:rFonts w:ascii="仿宋_GB2312" w:hAnsi="宋体" w:eastAsia="仿宋_GB2312"/>
          <w:sz w:val="30"/>
          <w:szCs w:val="30"/>
        </w:rPr>
        <w:t>7月份，银监会首先批准深圳前海微众银行、温州民商银行和天津金城银行3家民营银行的筹建申请</w:t>
      </w:r>
      <w:r>
        <w:rPr>
          <w:rFonts w:hint="eastAsia" w:ascii="仿宋_GB2312" w:hAnsi="宋体" w:eastAsia="仿宋_GB2312"/>
          <w:sz w:val="30"/>
          <w:szCs w:val="30"/>
        </w:rPr>
        <w:t>，</w:t>
      </w:r>
      <w:r>
        <w:rPr>
          <w:rFonts w:ascii="仿宋_GB2312" w:hAnsi="宋体" w:eastAsia="仿宋_GB2312"/>
          <w:sz w:val="30"/>
          <w:szCs w:val="30"/>
        </w:rPr>
        <w:t>随后9月份批准成立浙江网商银行、上海华瑞银行</w:t>
      </w:r>
      <w:r>
        <w:rPr>
          <w:rFonts w:hint="eastAsia" w:ascii="仿宋_GB2312" w:hAnsi="宋体" w:eastAsia="仿宋_GB2312"/>
          <w:sz w:val="30"/>
          <w:szCs w:val="30"/>
        </w:rPr>
        <w:t>。2014年12月，全国第一家民营银行“深圳前海微众银行股份有限公司”在前海成立，截至2015年5月，五家试点民营银行全部获准开业，民间资本进入银行业取得历史性突破。</w:t>
      </w:r>
    </w:p>
    <w:p>
      <w:pPr>
        <w:rPr>
          <w:rFonts w:ascii="仿宋_GB2312" w:hAnsi="仿宋_GB2312" w:eastAsia="仿宋_GB2312" w:cs="仿宋_GB2312"/>
          <w:sz w:val="32"/>
          <w:szCs w:val="32"/>
        </w:rPr>
      </w:pPr>
      <w:r>
        <w:rPr>
          <w:rFonts w:hint="eastAsia" w:ascii="仿宋_GB2312" w:hAnsi="宋体" w:eastAsia="仿宋_GB2312"/>
          <w:b/>
          <w:sz w:val="30"/>
          <w:szCs w:val="30"/>
        </w:rPr>
        <w:t>入选理由：</w:t>
      </w:r>
      <w:r>
        <w:rPr>
          <w:rFonts w:hint="eastAsia" w:ascii="仿宋_GB2312" w:hAnsi="宋体" w:eastAsia="仿宋_GB2312"/>
          <w:sz w:val="30"/>
          <w:szCs w:val="30"/>
        </w:rPr>
        <w:t>引导民间资本进入银行业，有利于进一步引入市场竞争机制、改变市场结构、提高金融机构服务水平；促进金融机构股权结构多元化、提高资本配置效率、激发金融机构市场活力；有利于增加金融服务供给，缓解中小企业融资难，扶植实体经济，符合中国金融业长远改革方向。</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r>
      <w:rPr>
        <w:rFonts w:ascii="Calibri" w:hAnsi="Calibri" w:eastAsia="宋体" w:cs="Times New Roman"/>
        <w:kern w:val="2"/>
        <w:sz w:val="18"/>
        <w:szCs w:val="18"/>
        <w:lang w:val="en-US" w:eastAsia="zh-CN" w:bidi="ar-SA"/>
      </w:rPr>
      <w:pict>
        <v:shape id="文本框 1" o:spid="_x0000_s1025" type="#_x0000_t202" style="position:absolute;left:0;margin-top:0pt;height:144pt;width:144pt;mso-position-horizontal:center;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66165"/>
    <w:rsid w:val="00053B7B"/>
    <w:rsid w:val="00060C97"/>
    <w:rsid w:val="00076752"/>
    <w:rsid w:val="000B3D8F"/>
    <w:rsid w:val="000C0DF8"/>
    <w:rsid w:val="000E3B6A"/>
    <w:rsid w:val="00106A9A"/>
    <w:rsid w:val="00166165"/>
    <w:rsid w:val="001D5A9F"/>
    <w:rsid w:val="0025154E"/>
    <w:rsid w:val="002B779B"/>
    <w:rsid w:val="0033006F"/>
    <w:rsid w:val="003B67C1"/>
    <w:rsid w:val="00414E85"/>
    <w:rsid w:val="004259D2"/>
    <w:rsid w:val="0046143E"/>
    <w:rsid w:val="00470B64"/>
    <w:rsid w:val="00483D57"/>
    <w:rsid w:val="00484A95"/>
    <w:rsid w:val="00514396"/>
    <w:rsid w:val="0054406F"/>
    <w:rsid w:val="005758A9"/>
    <w:rsid w:val="007B7673"/>
    <w:rsid w:val="007F4C9C"/>
    <w:rsid w:val="00815E0C"/>
    <w:rsid w:val="0082726D"/>
    <w:rsid w:val="008959DB"/>
    <w:rsid w:val="008C3C62"/>
    <w:rsid w:val="00953FD1"/>
    <w:rsid w:val="00996CB1"/>
    <w:rsid w:val="00AE3CDE"/>
    <w:rsid w:val="00B67AB4"/>
    <w:rsid w:val="00C05B90"/>
    <w:rsid w:val="00C436CB"/>
    <w:rsid w:val="00C474FA"/>
    <w:rsid w:val="00D5036E"/>
    <w:rsid w:val="00D83BF9"/>
    <w:rsid w:val="00D9750D"/>
    <w:rsid w:val="00DC089E"/>
    <w:rsid w:val="00E24711"/>
    <w:rsid w:val="00F04541"/>
    <w:rsid w:val="00F74AC9"/>
    <w:rsid w:val="00F76D6D"/>
    <w:rsid w:val="00FE6AD6"/>
    <w:rsid w:val="00FF153F"/>
    <w:rsid w:val="00FF1634"/>
    <w:rsid w:val="2FEF4814"/>
    <w:rsid w:val="6B0F317F"/>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Style w:val="5"/>
      <w:tblLayout w:type="fixed"/>
      <w:tblCellMar>
        <w:top w:w="0" w:type="dxa"/>
        <w:left w:w="108" w:type="dxa"/>
        <w:bottom w:w="0" w:type="dxa"/>
        <w:right w:w="108" w:type="dxa"/>
      </w:tblCellMar>
    </w:tblPr>
    <w:tcPr>
      <w:textDirection w:val="lrTb"/>
    </w:tcPr>
  </w:style>
  <w:style w:type="paragraph" w:styleId="2">
    <w:name w:val="footer"/>
    <w:basedOn w:val="1"/>
    <w:link w:val="7"/>
    <w:unhideWhenUsed/>
    <w:uiPriority w:val="99"/>
    <w:pPr>
      <w:tabs>
        <w:tab w:val="center" w:pos="4153"/>
        <w:tab w:val="right" w:pos="8306"/>
      </w:tabs>
      <w:snapToGrid w:val="0"/>
      <w:jc w:val="left"/>
    </w:pPr>
    <w:rPr>
      <w:rFonts w:ascii="Calibri" w:hAnsi="Calibri"/>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rFonts w:ascii="Calibri" w:hAnsi="Calibri"/>
      <w:sz w:val="18"/>
      <w:szCs w:val="18"/>
    </w:rPr>
  </w:style>
  <w:style w:type="character" w:customStyle="1" w:styleId="6">
    <w:name w:val="页眉 Char"/>
    <w:basedOn w:val="4"/>
    <w:link w:val="3"/>
    <w:semiHidden/>
    <w:uiPriority w:val="99"/>
    <w:rPr>
      <w:sz w:val="18"/>
      <w:szCs w:val="18"/>
    </w:rPr>
  </w:style>
  <w:style w:type="character" w:customStyle="1" w:styleId="7">
    <w:name w:val="页脚 Char"/>
    <w:basedOn w:val="4"/>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1458</Words>
  <Characters>8317</Characters>
  <Lines>69</Lines>
  <Paragraphs>19</Paragraphs>
  <TotalTime>0</TotalTime>
  <ScaleCrop>false</ScaleCrop>
  <LinksUpToDate>false</LinksUpToDate>
  <CharactersWithSpaces>0</CharactersWithSpaces>
  <Application>WPS Office_9.1.0.5218_F1E327BC-269C-435d-A152-05C5408002CA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2015-09-10T07:21:00Z</dcterms:created>
  <dc:creator>叶晴</dc:creator>
  <cp:lastModifiedBy>dell</cp:lastModifiedBy>
  <dcterms:modified xsi:type="dcterms:W3CDTF">2015-09-24T09:04:01Z</dcterms:modified>
  <dc:title>关于提请审议城商行成立二十周年二十件大事</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