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cs="黑体"/>
          <w:sz w:val="36"/>
          <w:szCs w:val="36"/>
        </w:rPr>
      </w:pPr>
      <w:r>
        <w:rPr>
          <w:rFonts w:hint="eastAsia" w:ascii="宋体" w:hAnsi="宋体" w:cs="黑体"/>
          <w:sz w:val="36"/>
          <w:szCs w:val="36"/>
        </w:rPr>
        <w:t>附件1</w:t>
      </w:r>
    </w:p>
    <w:p>
      <w:pPr>
        <w:jc w:val="center"/>
        <w:rPr>
          <w:rFonts w:hint="eastAsia" w:ascii="黑体" w:hAnsi="黑体" w:eastAsia="黑体" w:cs="黑体"/>
          <w:sz w:val="36"/>
          <w:szCs w:val="36"/>
        </w:rPr>
      </w:pPr>
      <w:r>
        <w:rPr>
          <w:rFonts w:hint="eastAsia" w:ascii="黑体" w:hAnsi="黑体" w:eastAsia="黑体" w:cs="黑体"/>
          <w:sz w:val="36"/>
          <w:szCs w:val="36"/>
        </w:rPr>
        <w:t>中国银行业发展研究优秀成果评选（2016）</w:t>
      </w:r>
    </w:p>
    <w:p>
      <w:pPr>
        <w:jc w:val="center"/>
        <w:rPr>
          <w:rFonts w:hint="eastAsia" w:ascii="黑体" w:hAnsi="黑体" w:eastAsia="黑体" w:cs="黑体"/>
          <w:sz w:val="36"/>
          <w:szCs w:val="36"/>
        </w:rPr>
      </w:pPr>
      <w:r>
        <w:rPr>
          <w:rFonts w:hint="eastAsia" w:ascii="黑体" w:hAnsi="黑体" w:eastAsia="黑体" w:cs="黑体"/>
          <w:sz w:val="36"/>
          <w:szCs w:val="36"/>
        </w:rPr>
        <w:t>获奖作品名单</w:t>
      </w:r>
    </w:p>
    <w:tbl>
      <w:tblPr>
        <w:tblStyle w:val="3"/>
        <w:tblW w:w="8790" w:type="dxa"/>
        <w:tblInd w:w="-93" w:type="dxa"/>
        <w:tblLayout w:type="fixed"/>
        <w:tblCellMar>
          <w:top w:w="0" w:type="dxa"/>
          <w:left w:w="15" w:type="dxa"/>
          <w:bottom w:w="0" w:type="dxa"/>
          <w:right w:w="15" w:type="dxa"/>
        </w:tblCellMar>
      </w:tblPr>
      <w:tblGrid>
        <w:gridCol w:w="504"/>
        <w:gridCol w:w="4707"/>
        <w:gridCol w:w="1843"/>
        <w:gridCol w:w="1736"/>
      </w:tblGrid>
      <w:tr>
        <w:tblPrEx>
          <w:tblLayout w:type="fixed"/>
          <w:tblCellMar>
            <w:top w:w="0" w:type="dxa"/>
            <w:left w:w="15" w:type="dxa"/>
            <w:bottom w:w="0" w:type="dxa"/>
            <w:right w:w="15" w:type="dxa"/>
          </w:tblCellMar>
        </w:tblPrEx>
        <w:trPr>
          <w:trHeight w:val="780" w:hRule="atLeast"/>
        </w:trPr>
        <w:tc>
          <w:tcPr>
            <w:tcW w:w="8790" w:type="dxa"/>
            <w:gridSpan w:val="4"/>
            <w:vAlign w:val="center"/>
          </w:tcPr>
          <w:p>
            <w:pPr>
              <w:autoSpaceDN w:val="0"/>
              <w:jc w:val="center"/>
              <w:textAlignment w:val="center"/>
              <w:rPr>
                <w:rFonts w:ascii="黑体" w:hAnsi="黑体" w:eastAsia="黑体"/>
                <w:b/>
                <w:color w:val="000000"/>
                <w:sz w:val="36"/>
              </w:rPr>
            </w:pPr>
            <w:r>
              <w:rPr>
                <w:rFonts w:ascii="黑体" w:hAnsi="黑体" w:eastAsia="黑体"/>
                <w:b/>
                <w:color w:val="000000"/>
                <w:sz w:val="32"/>
                <w:szCs w:val="22"/>
              </w:rPr>
              <w:t>特等奖</w:t>
            </w:r>
          </w:p>
        </w:tc>
      </w:tr>
      <w:tr>
        <w:tblPrEx>
          <w:tblLayout w:type="fixed"/>
          <w:tblCellMar>
            <w:top w:w="0" w:type="dxa"/>
            <w:left w:w="15" w:type="dxa"/>
            <w:bottom w:w="0" w:type="dxa"/>
            <w:right w:w="15" w:type="dxa"/>
          </w:tblCellMar>
        </w:tblPrEx>
        <w:trPr>
          <w:trHeight w:val="540" w:hRule="atLeast"/>
        </w:trPr>
        <w:tc>
          <w:tcPr>
            <w:tcW w:w="50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序号</w:t>
            </w:r>
          </w:p>
        </w:tc>
        <w:tc>
          <w:tcPr>
            <w:tcW w:w="470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成果名称</w:t>
            </w:r>
          </w:p>
        </w:tc>
        <w:tc>
          <w:tcPr>
            <w:tcW w:w="18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作者</w:t>
            </w:r>
          </w:p>
        </w:tc>
        <w:tc>
          <w:tcPr>
            <w:tcW w:w="173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单位</w:t>
            </w:r>
          </w:p>
        </w:tc>
      </w:tr>
      <w:tr>
        <w:tblPrEx>
          <w:tblLayout w:type="fixed"/>
          <w:tblCellMar>
            <w:top w:w="0" w:type="dxa"/>
            <w:left w:w="15" w:type="dxa"/>
            <w:bottom w:w="0" w:type="dxa"/>
            <w:right w:w="15" w:type="dxa"/>
          </w:tblCellMar>
        </w:tblPrEx>
        <w:trPr>
          <w:trHeight w:val="690" w:hRule="atLeast"/>
        </w:trPr>
        <w:tc>
          <w:tcPr>
            <w:tcW w:w="504" w:type="dxa"/>
            <w:tcBorders>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color w:val="000000"/>
                <w:sz w:val="24"/>
              </w:rPr>
            </w:pPr>
            <w:r>
              <w:rPr>
                <w:rFonts w:ascii="仿宋" w:hAnsi="仿宋" w:eastAsia="仿宋"/>
                <w:color w:val="000000"/>
                <w:sz w:val="24"/>
              </w:rPr>
              <w:t>1</w:t>
            </w:r>
          </w:p>
        </w:tc>
        <w:tc>
          <w:tcPr>
            <w:tcW w:w="4707" w:type="dxa"/>
            <w:tcBorders>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我国房地产证券化投资趋势研究</w:t>
            </w:r>
          </w:p>
        </w:tc>
        <w:tc>
          <w:tcPr>
            <w:tcW w:w="1843" w:type="dxa"/>
            <w:tcBorders>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地产金融事业部</w:t>
            </w:r>
          </w:p>
        </w:tc>
        <w:tc>
          <w:tcPr>
            <w:tcW w:w="1736" w:type="dxa"/>
            <w:tcBorders>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平安银行</w:t>
            </w:r>
          </w:p>
        </w:tc>
      </w:tr>
      <w:tr>
        <w:tblPrEx>
          <w:tblLayout w:type="fixed"/>
          <w:tblCellMar>
            <w:top w:w="0" w:type="dxa"/>
            <w:left w:w="15" w:type="dxa"/>
            <w:bottom w:w="0" w:type="dxa"/>
            <w:right w:w="15" w:type="dxa"/>
          </w:tblCellMar>
        </w:tblPrEx>
        <w:trPr>
          <w:trHeight w:val="690" w:hRule="atLeast"/>
        </w:trPr>
        <w:tc>
          <w:tcPr>
            <w:tcW w:w="50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color w:val="000000"/>
                <w:sz w:val="24"/>
              </w:rPr>
            </w:pPr>
            <w:r>
              <w:rPr>
                <w:rFonts w:ascii="仿宋" w:hAnsi="仿宋" w:eastAsia="仿宋"/>
                <w:color w:val="000000"/>
                <w:sz w:val="24"/>
              </w:rPr>
              <w:t>2</w:t>
            </w:r>
          </w:p>
        </w:tc>
        <w:tc>
          <w:tcPr>
            <w:tcW w:w="47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 全球化时代的银行信息系统建设 </w:t>
            </w: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全球化时代的银行信息系统建设课题组</w:t>
            </w:r>
          </w:p>
        </w:tc>
        <w:tc>
          <w:tcPr>
            <w:tcW w:w="173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中国银行</w:t>
            </w:r>
          </w:p>
        </w:tc>
      </w:tr>
      <w:tr>
        <w:tblPrEx>
          <w:tblLayout w:type="fixed"/>
          <w:tblCellMar>
            <w:top w:w="0" w:type="dxa"/>
            <w:left w:w="15" w:type="dxa"/>
            <w:bottom w:w="0" w:type="dxa"/>
            <w:right w:w="15" w:type="dxa"/>
          </w:tblCellMar>
        </w:tblPrEx>
        <w:trPr>
          <w:trHeight w:val="690" w:hRule="atLeast"/>
        </w:trPr>
        <w:tc>
          <w:tcPr>
            <w:tcW w:w="50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color w:val="000000"/>
                <w:sz w:val="24"/>
              </w:rPr>
            </w:pPr>
            <w:r>
              <w:rPr>
                <w:rFonts w:ascii="仿宋" w:hAnsi="仿宋" w:eastAsia="仿宋"/>
                <w:color w:val="000000"/>
                <w:sz w:val="24"/>
              </w:rPr>
              <w:t>3</w:t>
            </w:r>
          </w:p>
        </w:tc>
        <w:tc>
          <w:tcPr>
            <w:tcW w:w="47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从被动顺应监管走向主动战略推进——商业银行发展绿色金融的策略研究</w:t>
            </w: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刘晓春</w:t>
            </w:r>
          </w:p>
        </w:tc>
        <w:tc>
          <w:tcPr>
            <w:tcW w:w="173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浙商银行</w:t>
            </w:r>
          </w:p>
        </w:tc>
      </w:tr>
    </w:tbl>
    <w:p>
      <w:pPr>
        <w:autoSpaceDE w:val="0"/>
        <w:autoSpaceDN w:val="0"/>
        <w:rPr>
          <w:rFonts w:hint="eastAsia" w:ascii="黑体" w:hAnsi="黑体" w:eastAsia="黑体" w:cs="黑体"/>
          <w:b/>
          <w:bCs/>
          <w:sz w:val="32"/>
          <w:szCs w:val="32"/>
        </w:rPr>
      </w:pPr>
    </w:p>
    <w:tbl>
      <w:tblPr>
        <w:tblStyle w:val="3"/>
        <w:tblW w:w="8790" w:type="dxa"/>
        <w:tblInd w:w="-93" w:type="dxa"/>
        <w:tblLayout w:type="fixed"/>
        <w:tblCellMar>
          <w:top w:w="0" w:type="dxa"/>
          <w:left w:w="15" w:type="dxa"/>
          <w:bottom w:w="0" w:type="dxa"/>
          <w:right w:w="15" w:type="dxa"/>
        </w:tblCellMar>
      </w:tblPr>
      <w:tblGrid>
        <w:gridCol w:w="504"/>
        <w:gridCol w:w="4991"/>
        <w:gridCol w:w="1294"/>
        <w:gridCol w:w="2001"/>
      </w:tblGrid>
      <w:tr>
        <w:tblPrEx>
          <w:tblLayout w:type="fixed"/>
          <w:tblCellMar>
            <w:top w:w="0" w:type="dxa"/>
            <w:left w:w="15" w:type="dxa"/>
            <w:bottom w:w="0" w:type="dxa"/>
            <w:right w:w="15" w:type="dxa"/>
          </w:tblCellMar>
        </w:tblPrEx>
        <w:trPr>
          <w:trHeight w:val="690" w:hRule="atLeast"/>
        </w:trPr>
        <w:tc>
          <w:tcPr>
            <w:tcW w:w="8790" w:type="dxa"/>
            <w:gridSpan w:val="4"/>
            <w:vAlign w:val="center"/>
          </w:tcPr>
          <w:p>
            <w:pPr>
              <w:autoSpaceDN w:val="0"/>
              <w:jc w:val="center"/>
              <w:textAlignment w:val="center"/>
              <w:rPr>
                <w:rFonts w:ascii="宋体" w:hAnsi="宋体"/>
                <w:b/>
                <w:color w:val="000000"/>
                <w:sz w:val="24"/>
              </w:rPr>
            </w:pPr>
            <w:r>
              <w:rPr>
                <w:rFonts w:hint="eastAsia" w:ascii="黑体" w:hAnsi="黑体" w:eastAsia="黑体" w:cs="黑体"/>
                <w:b/>
                <w:color w:val="000000"/>
                <w:sz w:val="32"/>
                <w:szCs w:val="32"/>
              </w:rPr>
              <w:t>一等奖</w:t>
            </w:r>
          </w:p>
        </w:tc>
      </w:tr>
      <w:tr>
        <w:tblPrEx>
          <w:tblLayout w:type="fixed"/>
          <w:tblCellMar>
            <w:top w:w="0" w:type="dxa"/>
            <w:left w:w="15" w:type="dxa"/>
            <w:bottom w:w="0" w:type="dxa"/>
            <w:right w:w="15" w:type="dxa"/>
          </w:tblCellMar>
        </w:tblPrEx>
        <w:trPr>
          <w:trHeight w:val="540" w:hRule="atLeast"/>
        </w:trPr>
        <w:tc>
          <w:tcPr>
            <w:tcW w:w="50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序号</w:t>
            </w:r>
          </w:p>
        </w:tc>
        <w:tc>
          <w:tcPr>
            <w:tcW w:w="4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成果名称</w:t>
            </w:r>
          </w:p>
        </w:tc>
        <w:tc>
          <w:tcPr>
            <w:tcW w:w="129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作者</w:t>
            </w:r>
          </w:p>
        </w:tc>
        <w:tc>
          <w:tcPr>
            <w:tcW w:w="200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单位</w:t>
            </w:r>
          </w:p>
        </w:tc>
      </w:tr>
      <w:tr>
        <w:tblPrEx>
          <w:tblLayout w:type="fixed"/>
          <w:tblCellMar>
            <w:top w:w="0" w:type="dxa"/>
            <w:left w:w="15" w:type="dxa"/>
            <w:bottom w:w="0" w:type="dxa"/>
            <w:right w:w="15" w:type="dxa"/>
          </w:tblCellMar>
        </w:tblPrEx>
        <w:trPr>
          <w:trHeight w:val="690" w:hRule="atLeast"/>
        </w:trPr>
        <w:tc>
          <w:tcPr>
            <w:tcW w:w="50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w:t>
            </w:r>
          </w:p>
        </w:tc>
        <w:tc>
          <w:tcPr>
            <w:tcW w:w="499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金砖国家金融合作研究</w:t>
            </w:r>
          </w:p>
        </w:tc>
        <w:tc>
          <w:tcPr>
            <w:tcW w:w="12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连平</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2"/>
                <w:szCs w:val="22"/>
              </w:rPr>
            </w:pPr>
            <w:r>
              <w:rPr>
                <w:rFonts w:hint="eastAsia"/>
                <w:color w:val="000000"/>
                <w:sz w:val="22"/>
                <w:szCs w:val="22"/>
              </w:rPr>
              <w:t xml:space="preserve">交通银行 </w:t>
            </w:r>
          </w:p>
        </w:tc>
      </w:tr>
      <w:tr>
        <w:tblPrEx>
          <w:tblLayout w:type="fixed"/>
          <w:tblCellMar>
            <w:top w:w="0" w:type="dxa"/>
            <w:left w:w="15" w:type="dxa"/>
            <w:bottom w:w="0" w:type="dxa"/>
            <w:right w:w="15" w:type="dxa"/>
          </w:tblCellMar>
        </w:tblPrEx>
        <w:trPr>
          <w:trHeight w:val="690" w:hRule="atLeast"/>
        </w:trPr>
        <w:tc>
          <w:tcPr>
            <w:tcW w:w="504"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w:t>
            </w:r>
          </w:p>
        </w:tc>
        <w:tc>
          <w:tcPr>
            <w:tcW w:w="4991" w:type="dxa"/>
            <w:tcBorders>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普惠金融视角下银行信贷配给创新机制及治理效应研究</w:t>
            </w:r>
          </w:p>
        </w:tc>
        <w:tc>
          <w:tcPr>
            <w:tcW w:w="1294" w:type="dxa"/>
            <w:tcBorders>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沈立强</w:t>
            </w:r>
          </w:p>
        </w:tc>
        <w:tc>
          <w:tcPr>
            <w:tcW w:w="2001" w:type="dxa"/>
            <w:tcBorders>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0" w:hRule="atLeast"/>
        </w:trPr>
        <w:tc>
          <w:tcPr>
            <w:tcW w:w="50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w:t>
            </w:r>
          </w:p>
        </w:tc>
        <w:tc>
          <w:tcPr>
            <w:tcW w:w="499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大型银行授权管理与公司治理效率研究</w:t>
            </w:r>
          </w:p>
        </w:tc>
        <w:tc>
          <w:tcPr>
            <w:tcW w:w="12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董事会办公室课题组</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r>
        <w:tblPrEx>
          <w:tblLayout w:type="fixed"/>
          <w:tblCellMar>
            <w:top w:w="0" w:type="dxa"/>
            <w:left w:w="15" w:type="dxa"/>
            <w:bottom w:w="0" w:type="dxa"/>
            <w:right w:w="15" w:type="dxa"/>
          </w:tblCellMar>
        </w:tblPrEx>
        <w:trPr>
          <w:trHeight w:val="690" w:hRule="atLeast"/>
        </w:trPr>
        <w:tc>
          <w:tcPr>
            <w:tcW w:w="50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4</w:t>
            </w:r>
          </w:p>
        </w:tc>
        <w:tc>
          <w:tcPr>
            <w:tcW w:w="499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中国农村金融改革观察与检验</w:t>
            </w:r>
          </w:p>
        </w:tc>
        <w:tc>
          <w:tcPr>
            <w:tcW w:w="12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陈鹏</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中国邮政储蓄银行</w:t>
            </w:r>
          </w:p>
        </w:tc>
      </w:tr>
      <w:tr>
        <w:tblPrEx>
          <w:tblLayout w:type="fixed"/>
          <w:tblCellMar>
            <w:top w:w="0" w:type="dxa"/>
            <w:left w:w="15" w:type="dxa"/>
            <w:bottom w:w="0" w:type="dxa"/>
            <w:right w:w="15" w:type="dxa"/>
          </w:tblCellMar>
        </w:tblPrEx>
        <w:trPr>
          <w:trHeight w:val="690" w:hRule="atLeast"/>
        </w:trPr>
        <w:tc>
          <w:tcPr>
            <w:tcW w:w="50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5</w:t>
            </w:r>
          </w:p>
        </w:tc>
        <w:tc>
          <w:tcPr>
            <w:tcW w:w="499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新常态新在哪儿？——中国未来10年潜在增长率估算</w:t>
            </w:r>
          </w:p>
        </w:tc>
        <w:tc>
          <w:tcPr>
            <w:tcW w:w="12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陈卫东</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中国银行</w:t>
            </w:r>
          </w:p>
        </w:tc>
      </w:tr>
      <w:tr>
        <w:tblPrEx>
          <w:tblLayout w:type="fixed"/>
          <w:tblCellMar>
            <w:top w:w="0" w:type="dxa"/>
            <w:left w:w="15" w:type="dxa"/>
            <w:bottom w:w="0" w:type="dxa"/>
            <w:right w:w="15" w:type="dxa"/>
          </w:tblCellMar>
        </w:tblPrEx>
        <w:trPr>
          <w:trHeight w:val="690" w:hRule="atLeast"/>
        </w:trPr>
        <w:tc>
          <w:tcPr>
            <w:tcW w:w="50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6</w:t>
            </w:r>
          </w:p>
        </w:tc>
        <w:tc>
          <w:tcPr>
            <w:tcW w:w="499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苏州地区小微企业融资状况全面调查报告</w:t>
            </w:r>
          </w:p>
        </w:tc>
        <w:tc>
          <w:tcPr>
            <w:tcW w:w="12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苏州银行业协会课题组</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苏州银行业协会</w:t>
            </w:r>
          </w:p>
        </w:tc>
      </w:tr>
      <w:tr>
        <w:tblPrEx>
          <w:tblLayout w:type="fixed"/>
          <w:tblCellMar>
            <w:top w:w="0" w:type="dxa"/>
            <w:left w:w="15" w:type="dxa"/>
            <w:bottom w:w="0" w:type="dxa"/>
            <w:right w:w="15" w:type="dxa"/>
          </w:tblCellMar>
        </w:tblPrEx>
        <w:trPr>
          <w:trHeight w:val="690" w:hRule="atLeast"/>
        </w:trPr>
        <w:tc>
          <w:tcPr>
            <w:tcW w:w="50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7</w:t>
            </w:r>
          </w:p>
        </w:tc>
        <w:tc>
          <w:tcPr>
            <w:tcW w:w="499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中型商业银行综合化与差异化经营初探</w:t>
            </w:r>
          </w:p>
        </w:tc>
        <w:tc>
          <w:tcPr>
            <w:tcW w:w="12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蔡国华</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恒丰银行</w:t>
            </w:r>
          </w:p>
        </w:tc>
      </w:tr>
      <w:tr>
        <w:tblPrEx>
          <w:tblLayout w:type="fixed"/>
          <w:tblCellMar>
            <w:top w:w="0" w:type="dxa"/>
            <w:left w:w="15" w:type="dxa"/>
            <w:bottom w:w="0" w:type="dxa"/>
            <w:right w:w="15" w:type="dxa"/>
          </w:tblCellMar>
        </w:tblPrEx>
        <w:trPr>
          <w:trHeight w:val="855" w:hRule="atLeast"/>
        </w:trPr>
        <w:tc>
          <w:tcPr>
            <w:tcW w:w="50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8</w:t>
            </w:r>
          </w:p>
        </w:tc>
        <w:tc>
          <w:tcPr>
            <w:tcW w:w="499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经济周期中的银行与企业行为分析</w:t>
            </w:r>
          </w:p>
        </w:tc>
        <w:tc>
          <w:tcPr>
            <w:tcW w:w="12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郭少泉</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青岛银行</w:t>
            </w:r>
          </w:p>
        </w:tc>
      </w:tr>
      <w:tr>
        <w:tblPrEx>
          <w:tblLayout w:type="fixed"/>
          <w:tblCellMar>
            <w:top w:w="0" w:type="dxa"/>
            <w:left w:w="15" w:type="dxa"/>
            <w:bottom w:w="0" w:type="dxa"/>
            <w:right w:w="15" w:type="dxa"/>
          </w:tblCellMar>
        </w:tblPrEx>
        <w:trPr>
          <w:trHeight w:val="690" w:hRule="atLeast"/>
        </w:trPr>
        <w:tc>
          <w:tcPr>
            <w:tcW w:w="50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9</w:t>
            </w:r>
          </w:p>
        </w:tc>
        <w:tc>
          <w:tcPr>
            <w:tcW w:w="499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我国存款保险制度研究</w:t>
            </w:r>
          </w:p>
        </w:tc>
        <w:tc>
          <w:tcPr>
            <w:tcW w:w="12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王天宇</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郑州银行</w:t>
            </w:r>
          </w:p>
        </w:tc>
      </w:tr>
      <w:tr>
        <w:tblPrEx>
          <w:tblLayout w:type="fixed"/>
          <w:tblCellMar>
            <w:top w:w="0" w:type="dxa"/>
            <w:left w:w="15" w:type="dxa"/>
            <w:bottom w:w="0" w:type="dxa"/>
            <w:right w:w="15" w:type="dxa"/>
          </w:tblCellMar>
        </w:tblPrEx>
        <w:trPr>
          <w:trHeight w:val="690" w:hRule="atLeast"/>
        </w:trPr>
        <w:tc>
          <w:tcPr>
            <w:tcW w:w="50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10</w:t>
            </w:r>
          </w:p>
        </w:tc>
        <w:tc>
          <w:tcPr>
            <w:tcW w:w="499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互联网金融影响下传统银行业务转型的实践与探索</w:t>
            </w:r>
          </w:p>
        </w:tc>
        <w:tc>
          <w:tcPr>
            <w:tcW w:w="12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甘为民</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重庆银行</w:t>
            </w:r>
          </w:p>
        </w:tc>
      </w:tr>
    </w:tbl>
    <w:p>
      <w:pPr>
        <w:autoSpaceDE w:val="0"/>
        <w:autoSpaceDN w:val="0"/>
        <w:rPr>
          <w:rFonts w:hint="eastAsia" w:ascii="黑体" w:hAnsi="黑体" w:eastAsia="黑体" w:cs="黑体"/>
          <w:b/>
          <w:bCs/>
          <w:sz w:val="32"/>
          <w:szCs w:val="32"/>
        </w:rPr>
      </w:pPr>
    </w:p>
    <w:tbl>
      <w:tblPr>
        <w:tblStyle w:val="3"/>
        <w:tblW w:w="8755" w:type="dxa"/>
        <w:tblInd w:w="-93" w:type="dxa"/>
        <w:tblLayout w:type="fixed"/>
        <w:tblCellMar>
          <w:top w:w="0" w:type="dxa"/>
          <w:left w:w="15" w:type="dxa"/>
          <w:bottom w:w="0" w:type="dxa"/>
          <w:right w:w="15" w:type="dxa"/>
        </w:tblCellMar>
      </w:tblPr>
      <w:tblGrid>
        <w:gridCol w:w="341"/>
        <w:gridCol w:w="5437"/>
        <w:gridCol w:w="1276"/>
        <w:gridCol w:w="1701"/>
      </w:tblGrid>
      <w:tr>
        <w:tblPrEx>
          <w:tblLayout w:type="fixed"/>
          <w:tblCellMar>
            <w:top w:w="0" w:type="dxa"/>
            <w:left w:w="15" w:type="dxa"/>
            <w:bottom w:w="0" w:type="dxa"/>
            <w:right w:w="15" w:type="dxa"/>
          </w:tblCellMar>
        </w:tblPrEx>
        <w:trPr>
          <w:trHeight w:val="690" w:hRule="atLeast"/>
        </w:trPr>
        <w:tc>
          <w:tcPr>
            <w:tcW w:w="8755" w:type="dxa"/>
            <w:gridSpan w:val="4"/>
            <w:vAlign w:val="center"/>
          </w:tcPr>
          <w:p>
            <w:pPr>
              <w:autoSpaceDN w:val="0"/>
              <w:jc w:val="center"/>
              <w:textAlignment w:val="center"/>
              <w:rPr>
                <w:rFonts w:ascii="宋体" w:hAnsi="宋体"/>
                <w:b/>
                <w:color w:val="000000"/>
                <w:sz w:val="24"/>
              </w:rPr>
            </w:pPr>
            <w:r>
              <w:rPr>
                <w:rFonts w:ascii="宋体" w:hAnsi="宋体"/>
                <w:b/>
                <w:color w:val="000000"/>
                <w:sz w:val="32"/>
                <w:szCs w:val="32"/>
              </w:rPr>
              <w:t>二等奖</w:t>
            </w:r>
          </w:p>
        </w:tc>
      </w:tr>
      <w:tr>
        <w:tblPrEx>
          <w:tblLayout w:type="fixed"/>
          <w:tblCellMar>
            <w:top w:w="0" w:type="dxa"/>
            <w:left w:w="15" w:type="dxa"/>
            <w:bottom w:w="0" w:type="dxa"/>
            <w:right w:w="15" w:type="dxa"/>
          </w:tblCellMar>
        </w:tblPrEx>
        <w:trPr>
          <w:trHeight w:val="690"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序号</w:t>
            </w:r>
          </w:p>
        </w:tc>
        <w:tc>
          <w:tcPr>
            <w:tcW w:w="543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成果名称</w:t>
            </w:r>
          </w:p>
        </w:tc>
        <w:tc>
          <w:tcPr>
            <w:tcW w:w="127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作者</w:t>
            </w:r>
          </w:p>
        </w:tc>
        <w:tc>
          <w:tcPr>
            <w:tcW w:w="170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单位</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开发性金融“走出去”的协同激励机制分析</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郭濂</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国家开发银行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商业银行“营改增”理论与实务研究</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刘亚干</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大型商业银行不良资产处置创新研究</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特殊资产经营部课题组</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4</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小微金融服务指数理论与实践</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color w:val="000000"/>
              </w:rPr>
              <w:t>易映森</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5</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国外商业银行资产管理业务组织架构和业务模式概览</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color w:val="000000"/>
              </w:rPr>
              <w:t>周琼</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中国邮政储蓄银行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6</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关于抢抓国家开展农村金融综合改革试验机遇全面加强农村金融服务体系建设有关问题的调研报告</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唐忠民</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吉林省农村信用社联合社</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7</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中国国有银行制度变迁：适应性效率与功能演进</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郭梅亮</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兴业银行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8</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新时期货币政策工具创新及对商业银行影响研究</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周万阜</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9</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城市商业银行EAST数据驱动的风险分析与应用研究</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周知</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东莞银行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10</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商业银行“资产驱动”策略及实施建议</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仇高擎</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2"/>
                <w:szCs w:val="22"/>
              </w:rPr>
            </w:pPr>
            <w:r>
              <w:rPr>
                <w:rFonts w:hint="eastAsia"/>
                <w:color w:val="000000"/>
                <w:sz w:val="22"/>
                <w:szCs w:val="22"/>
              </w:rPr>
              <w:t>交通银行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11</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基于大数据的商业银行合规风险监测系统研究</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内控与法律合规部课题研究组</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12</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商业银行个人信用评分研究</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武安华</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郑州银行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13</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资本监管下货币政策信贷渠道的“扭曲”效应研究</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熊启跃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14</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中国银行业监管发展与改革研究</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李直</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兴业银行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15</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董事长特征与内部控制质量</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王韦程</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中国邮政储蓄银行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16</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营改增税制改革对银行业经营管理的影响及应对措施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营改增课题组</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17</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汇率预期、中美息差及央行外汇干预对股票价格的影响</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李小林</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青岛银行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18</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互联网金融全面风险管理体系建设：基于商业银行视角</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叶建清</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浙商银行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19</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中国村镇银行可持续发展研究</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常戈</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中信银行</w:t>
            </w:r>
          </w:p>
        </w:tc>
      </w:tr>
      <w:tr>
        <w:tblPrEx>
          <w:tblLayout w:type="fixed"/>
          <w:tblCellMar>
            <w:top w:w="0" w:type="dxa"/>
            <w:left w:w="15" w:type="dxa"/>
            <w:bottom w:w="0" w:type="dxa"/>
            <w:right w:w="15" w:type="dxa"/>
          </w:tblCellMar>
        </w:tblPrEx>
        <w:trPr>
          <w:trHeight w:val="692" w:hRule="atLeast"/>
        </w:trPr>
        <w:tc>
          <w:tcPr>
            <w:tcW w:w="3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20</w:t>
            </w:r>
          </w:p>
        </w:tc>
        <w:tc>
          <w:tcPr>
            <w:tcW w:w="5437"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人民币期权定价及风险管理机制的实证研究</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郑泽辉</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中国银行</w:t>
            </w:r>
          </w:p>
        </w:tc>
      </w:tr>
    </w:tbl>
    <w:p>
      <w:pPr>
        <w:autoSpaceDE w:val="0"/>
        <w:autoSpaceDN w:val="0"/>
        <w:rPr>
          <w:rFonts w:hint="eastAsia" w:ascii="黑体" w:hAnsi="黑体" w:eastAsia="黑体" w:cs="黑体"/>
          <w:b/>
          <w:bCs/>
          <w:sz w:val="32"/>
          <w:szCs w:val="32"/>
        </w:rPr>
      </w:pPr>
    </w:p>
    <w:tbl>
      <w:tblPr>
        <w:tblStyle w:val="3"/>
        <w:tblW w:w="8790" w:type="dxa"/>
        <w:tblInd w:w="-93" w:type="dxa"/>
        <w:tblLayout w:type="fixed"/>
        <w:tblCellMar>
          <w:top w:w="0" w:type="dxa"/>
          <w:left w:w="15" w:type="dxa"/>
          <w:bottom w:w="0" w:type="dxa"/>
          <w:right w:w="15" w:type="dxa"/>
        </w:tblCellMar>
      </w:tblPr>
      <w:tblGrid>
        <w:gridCol w:w="519"/>
        <w:gridCol w:w="5250"/>
        <w:gridCol w:w="1035"/>
        <w:gridCol w:w="1986"/>
      </w:tblGrid>
      <w:tr>
        <w:tblPrEx>
          <w:tblLayout w:type="fixed"/>
          <w:tblCellMar>
            <w:top w:w="0" w:type="dxa"/>
            <w:left w:w="15" w:type="dxa"/>
            <w:bottom w:w="0" w:type="dxa"/>
            <w:right w:w="15" w:type="dxa"/>
          </w:tblCellMar>
        </w:tblPrEx>
        <w:trPr>
          <w:trHeight w:val="690" w:hRule="atLeast"/>
        </w:trPr>
        <w:tc>
          <w:tcPr>
            <w:tcW w:w="8790" w:type="dxa"/>
            <w:gridSpan w:val="4"/>
            <w:vAlign w:val="center"/>
          </w:tcPr>
          <w:p>
            <w:pPr>
              <w:autoSpaceDN w:val="0"/>
              <w:jc w:val="center"/>
              <w:textAlignment w:val="center"/>
              <w:rPr>
                <w:rFonts w:ascii="宋体" w:hAnsi="宋体"/>
                <w:b/>
                <w:color w:val="000000"/>
                <w:sz w:val="24"/>
              </w:rPr>
            </w:pPr>
            <w:r>
              <w:rPr>
                <w:rFonts w:hint="eastAsia" w:ascii="黑体" w:hAnsi="黑体" w:eastAsia="黑体" w:cs="黑体"/>
                <w:b/>
                <w:color w:val="000000"/>
                <w:sz w:val="32"/>
                <w:szCs w:val="32"/>
              </w:rPr>
              <w:t>三等奖</w:t>
            </w:r>
          </w:p>
        </w:tc>
      </w:tr>
      <w:tr>
        <w:tblPrEx>
          <w:tblLayout w:type="fixed"/>
          <w:tblCellMar>
            <w:top w:w="0" w:type="dxa"/>
            <w:left w:w="15" w:type="dxa"/>
            <w:bottom w:w="0" w:type="dxa"/>
            <w:right w:w="15" w:type="dxa"/>
          </w:tblCellMar>
        </w:tblPrEx>
        <w:trPr>
          <w:trHeight w:val="690"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序</w:t>
            </w:r>
          </w:p>
          <w:p>
            <w:pPr>
              <w:autoSpaceDN w:val="0"/>
              <w:jc w:val="center"/>
              <w:textAlignment w:val="center"/>
              <w:rPr>
                <w:rFonts w:ascii="仿宋" w:hAnsi="仿宋" w:eastAsia="仿宋"/>
                <w:b/>
                <w:color w:val="000000"/>
                <w:sz w:val="24"/>
              </w:rPr>
            </w:pPr>
            <w:r>
              <w:rPr>
                <w:rFonts w:ascii="仿宋" w:hAnsi="仿宋" w:eastAsia="仿宋"/>
                <w:b/>
                <w:color w:val="000000"/>
                <w:sz w:val="24"/>
              </w:rPr>
              <w:t>号</w:t>
            </w:r>
          </w:p>
        </w:tc>
        <w:tc>
          <w:tcPr>
            <w:tcW w:w="525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成果名称</w:t>
            </w:r>
          </w:p>
        </w:tc>
        <w:tc>
          <w:tcPr>
            <w:tcW w:w="103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作者</w:t>
            </w:r>
          </w:p>
        </w:tc>
        <w:tc>
          <w:tcPr>
            <w:tcW w:w="198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单位</w:t>
            </w:r>
          </w:p>
        </w:tc>
      </w:tr>
      <w:tr>
        <w:tblPrEx>
          <w:tblLayout w:type="fixed"/>
          <w:tblCellMar>
            <w:top w:w="0" w:type="dxa"/>
            <w:left w:w="15" w:type="dxa"/>
            <w:bottom w:w="0" w:type="dxa"/>
            <w:right w:w="15" w:type="dxa"/>
          </w:tblCellMar>
        </w:tblPrEx>
        <w:trPr>
          <w:trHeight w:val="692" w:hRule="atLeast"/>
        </w:trPr>
        <w:tc>
          <w:tcPr>
            <w:tcW w:w="519"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w:t>
            </w:r>
          </w:p>
        </w:tc>
        <w:tc>
          <w:tcPr>
            <w:tcW w:w="5250" w:type="dxa"/>
            <w:tcBorders>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商业银行资本管理高级方法风险模型及应用的内部审计技术研究</w:t>
            </w:r>
          </w:p>
        </w:tc>
        <w:tc>
          <w:tcPr>
            <w:tcW w:w="1035" w:type="dxa"/>
            <w:tcBorders>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林福臣</w:t>
            </w:r>
          </w:p>
        </w:tc>
        <w:tc>
          <w:tcPr>
            <w:tcW w:w="1986" w:type="dxa"/>
            <w:tcBorders>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ascii="宋体" w:hAnsi="宋体"/>
                <w:kern w:val="0"/>
                <w:szCs w:val="21"/>
              </w:rPr>
              <w:t>上海浦东发展银行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社区银行业务创新及发展策略研究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李忠东</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中国建设银行 </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利率市场化对商业银行经营效率影响的实证研究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刘强</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4</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color w:val="000000"/>
              </w:rPr>
              <w:t>商业银行信息科技全面质量管理的研究与实践</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color w:val="000000"/>
              </w:rPr>
              <w:t>陈敏</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color w:val="000000"/>
              </w:rPr>
              <w:t>中国光大银行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5</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金融租赁管理操作实务</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郑欢</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民生金融租赁股份有限公司</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6</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新常态下沿海发达地区商业银行全面转型研究——以浙江地区为例</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沈荣勤</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7</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中国工商银行“大资管”战略研究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贡方超</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8</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中小企业融资指引</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林治乾</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青岛银行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9</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构建“大资管”体系，助力转型发展——银行资产管理业务研究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张丽云</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中国民生银行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10</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我国商业银行资金管理的现状、问题及对策分析</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刘健</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2"/>
                <w:szCs w:val="22"/>
              </w:rPr>
            </w:pPr>
            <w:r>
              <w:rPr>
                <w:rFonts w:hint="eastAsia"/>
                <w:color w:val="000000"/>
                <w:sz w:val="22"/>
                <w:szCs w:val="22"/>
              </w:rPr>
              <w:t>交通银行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11</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数字化背景下商业银行网点转型发展策略研究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翟世勇</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12</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color w:val="000000"/>
              </w:rPr>
              <w:br w:type="textWrapping"/>
            </w:r>
            <w:r>
              <w:rPr>
                <w:rFonts w:hint="eastAsia"/>
                <w:color w:val="000000"/>
              </w:rPr>
              <w:t>人民币汇率政策与货币政策冲突效应的实证分析</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color w:val="000000"/>
              </w:rPr>
              <w:t>贺光宇</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color w:val="000000"/>
              </w:rPr>
              <w:t xml:space="preserve">中国建设银行 </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13</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客户信息标准体系建设与应用研究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管理信息部课题组</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14</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互联网金融形势下的银行研发机制创新研究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张艳</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15</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智能业务运营模式推动网点转型研究---构建工商银行互联网金融模式下业务运营体系探讨</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刘建中</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16</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金融支持新型农业经营主体实践与创新研究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农户金融部/吉林、湖北分行联合课题组</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17</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全球托管银行业发展启示：大资管的全托管业务创新与平台架构研究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吴磊</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中国建设银行 </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18</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上市银行集团化经营下的关联交易风险管理研究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内控合规部课题组</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19</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新常态下银行资产管理业务：去风险化路径探析</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陈新玉</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中国东方资产管理公司</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20</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互联网金融法律制度研究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娄志军</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恒丰银行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21</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财务杠杆与信托公司的经营绩效</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苏诚</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国家开发银行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22</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破除理财刚性兑付的监管制度构建研究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王学勇</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23</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国家解决产能过剩过程中商业银行风险及防控对策研究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徐海</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24</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直销银行技术平台与风险管理研究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李成功</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吉林银行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25</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关于小微企业融资机制和风险控制机制的创新研究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周春晓</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26</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个人客户经理绩效考核研究——基于客户价值导向的视角</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吴翔江</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27</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“一带一路”战略对邮储银行的影响及相关策略建议</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祝元荣</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中国邮政储蓄银行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28</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ATM现金存取款异常行为的实证研究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蔡宁伟</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中信银行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29</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中国商业银行资本充足率与风险的现状探微——基于上市银行2003-2014数据的分析</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李虹含</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华夏银行</w:t>
            </w:r>
          </w:p>
        </w:tc>
      </w:tr>
      <w:tr>
        <w:tblPrEx>
          <w:tblLayout w:type="fixed"/>
          <w:tblCellMar>
            <w:top w:w="0" w:type="dxa"/>
            <w:left w:w="15" w:type="dxa"/>
            <w:bottom w:w="0" w:type="dxa"/>
            <w:right w:w="15" w:type="dxa"/>
          </w:tblCellMar>
        </w:tblPrEx>
        <w:trPr>
          <w:trHeight w:val="692" w:hRule="atLeast"/>
        </w:trPr>
        <w:tc>
          <w:tcPr>
            <w:tcW w:w="51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30</w:t>
            </w:r>
          </w:p>
        </w:tc>
        <w:tc>
          <w:tcPr>
            <w:tcW w:w="5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中国大、中小商业银行差异化资本监管效率实证研究</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李佳音</w:t>
            </w: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中国建设银行 </w:t>
            </w:r>
          </w:p>
        </w:tc>
      </w:tr>
    </w:tbl>
    <w:p>
      <w:pPr>
        <w:rPr>
          <w:rFonts w:hint="eastAsia" w:ascii="黑体" w:hAnsi="黑体" w:eastAsia="黑体" w:cs="黑体"/>
          <w:sz w:val="32"/>
          <w:szCs w:val="32"/>
        </w:rPr>
      </w:pPr>
    </w:p>
    <w:tbl>
      <w:tblPr>
        <w:tblStyle w:val="3"/>
        <w:tblW w:w="8790" w:type="dxa"/>
        <w:tblInd w:w="-93" w:type="dxa"/>
        <w:tblLayout w:type="fixed"/>
        <w:tblCellMar>
          <w:top w:w="0" w:type="dxa"/>
          <w:left w:w="15" w:type="dxa"/>
          <w:bottom w:w="0" w:type="dxa"/>
          <w:right w:w="15" w:type="dxa"/>
        </w:tblCellMar>
      </w:tblPr>
      <w:tblGrid>
        <w:gridCol w:w="534"/>
        <w:gridCol w:w="5244"/>
        <w:gridCol w:w="6"/>
        <w:gridCol w:w="987"/>
        <w:gridCol w:w="18"/>
        <w:gridCol w:w="2001"/>
      </w:tblGrid>
      <w:tr>
        <w:tblPrEx>
          <w:tblLayout w:type="fixed"/>
          <w:tblCellMar>
            <w:top w:w="0" w:type="dxa"/>
            <w:left w:w="15" w:type="dxa"/>
            <w:bottom w:w="0" w:type="dxa"/>
            <w:right w:w="15" w:type="dxa"/>
          </w:tblCellMar>
        </w:tblPrEx>
        <w:trPr>
          <w:trHeight w:val="630" w:hRule="atLeast"/>
        </w:trPr>
        <w:tc>
          <w:tcPr>
            <w:tcW w:w="8790" w:type="dxa"/>
            <w:gridSpan w:val="6"/>
            <w:vAlign w:val="center"/>
          </w:tcPr>
          <w:p>
            <w:pPr>
              <w:autoSpaceDN w:val="0"/>
              <w:jc w:val="center"/>
              <w:textAlignment w:val="center"/>
              <w:rPr>
                <w:rFonts w:hint="eastAsia" w:ascii="黑体" w:hAnsi="黑体" w:eastAsia="黑体" w:cs="黑体"/>
                <w:b/>
                <w:color w:val="000000"/>
                <w:sz w:val="32"/>
                <w:szCs w:val="32"/>
              </w:rPr>
            </w:pPr>
          </w:p>
          <w:p>
            <w:pPr>
              <w:autoSpaceDN w:val="0"/>
              <w:jc w:val="center"/>
              <w:textAlignment w:val="center"/>
              <w:rPr>
                <w:rFonts w:ascii="宋体" w:hAnsi="宋体"/>
                <w:b/>
                <w:color w:val="000000"/>
                <w:sz w:val="24"/>
              </w:rPr>
            </w:pPr>
            <w:r>
              <w:rPr>
                <w:rFonts w:hint="eastAsia" w:ascii="黑体" w:hAnsi="黑体" w:eastAsia="黑体" w:cs="黑体"/>
                <w:b/>
                <w:color w:val="000000"/>
                <w:sz w:val="32"/>
                <w:szCs w:val="32"/>
              </w:rPr>
              <w:t>优秀奖</w:t>
            </w:r>
          </w:p>
        </w:tc>
      </w:tr>
      <w:tr>
        <w:tblPrEx>
          <w:tblLayout w:type="fixed"/>
          <w:tblCellMar>
            <w:top w:w="0" w:type="dxa"/>
            <w:left w:w="15" w:type="dxa"/>
            <w:bottom w:w="0" w:type="dxa"/>
            <w:right w:w="15" w:type="dxa"/>
          </w:tblCellMar>
        </w:tblPrEx>
        <w:trPr>
          <w:trHeight w:val="630"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序</w:t>
            </w:r>
          </w:p>
          <w:p>
            <w:pPr>
              <w:autoSpaceDN w:val="0"/>
              <w:jc w:val="center"/>
              <w:textAlignment w:val="center"/>
              <w:rPr>
                <w:rFonts w:ascii="仿宋" w:hAnsi="仿宋" w:eastAsia="仿宋"/>
                <w:b/>
                <w:color w:val="000000"/>
                <w:sz w:val="24"/>
              </w:rPr>
            </w:pPr>
            <w:r>
              <w:rPr>
                <w:rFonts w:ascii="仿宋" w:hAnsi="仿宋" w:eastAsia="仿宋"/>
                <w:b/>
                <w:color w:val="000000"/>
                <w:sz w:val="24"/>
              </w:rPr>
              <w:t>号</w:t>
            </w:r>
          </w:p>
        </w:tc>
        <w:tc>
          <w:tcPr>
            <w:tcW w:w="5250"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成果名称</w:t>
            </w:r>
          </w:p>
        </w:tc>
        <w:tc>
          <w:tcPr>
            <w:tcW w:w="100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作者</w:t>
            </w:r>
          </w:p>
        </w:tc>
        <w:tc>
          <w:tcPr>
            <w:tcW w:w="200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单位</w:t>
            </w:r>
          </w:p>
        </w:tc>
      </w:tr>
      <w:tr>
        <w:tblPrEx>
          <w:tblLayout w:type="fixed"/>
          <w:tblCellMar>
            <w:top w:w="0" w:type="dxa"/>
            <w:left w:w="15" w:type="dxa"/>
            <w:bottom w:w="0" w:type="dxa"/>
            <w:right w:w="15" w:type="dxa"/>
          </w:tblCellMar>
        </w:tblPrEx>
        <w:trPr>
          <w:trHeight w:val="692" w:hRule="atLeast"/>
        </w:trPr>
        <w:tc>
          <w:tcPr>
            <w:tcW w:w="534"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w:t>
            </w:r>
          </w:p>
        </w:tc>
        <w:tc>
          <w:tcPr>
            <w:tcW w:w="5244" w:type="dxa"/>
            <w:tcBorders>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互联网技术新趋势下的商业银行业务模式研究</w:t>
            </w:r>
          </w:p>
        </w:tc>
        <w:tc>
          <w:tcPr>
            <w:tcW w:w="1011" w:type="dxa"/>
            <w:gridSpan w:val="3"/>
            <w:tcBorders>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金昱</w:t>
            </w:r>
          </w:p>
        </w:tc>
        <w:tc>
          <w:tcPr>
            <w:tcW w:w="2001" w:type="dxa"/>
            <w:tcBorders>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银行不良资产证券化的定价研究</w:t>
            </w:r>
          </w:p>
        </w:tc>
        <w:tc>
          <w:tcPr>
            <w:tcW w:w="1011"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简青</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中小商业银行资产托管业务发展战略</w:t>
            </w:r>
          </w:p>
        </w:tc>
        <w:tc>
          <w:tcPr>
            <w:tcW w:w="1011"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仲琍巍</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恒丰银行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4</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互联网金融浪潮下商业银行清算体系建设的思考和建议</w:t>
            </w:r>
          </w:p>
        </w:tc>
        <w:tc>
          <w:tcPr>
            <w:tcW w:w="1011"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孔新荣</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5</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银行业大数据战略转型推动新经济发展的研究与实践</w:t>
            </w:r>
          </w:p>
        </w:tc>
        <w:tc>
          <w:tcPr>
            <w:tcW w:w="1011"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李昱</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中国建设银行 </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6</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金融发展、信用深化与二元信用结构</w:t>
            </w:r>
          </w:p>
        </w:tc>
        <w:tc>
          <w:tcPr>
            <w:tcW w:w="1011"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李文峰</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中国邮政储蓄银行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7</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互联网金融背景下在线客服模式研究</w:t>
            </w:r>
          </w:p>
        </w:tc>
        <w:tc>
          <w:tcPr>
            <w:tcW w:w="1011"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马素惠</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8</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PPP模式中商业银行的风险管理对策</w:t>
            </w:r>
          </w:p>
        </w:tc>
        <w:tc>
          <w:tcPr>
            <w:tcW w:w="1011"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冯静生</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9</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发展并购贷款业务之蓝海战略</w:t>
            </w:r>
            <w:r>
              <w:rPr>
                <w:rFonts w:hint="eastAsia"/>
              </w:rPr>
              <w:br w:type="textWrapping"/>
            </w:r>
            <w:r>
              <w:rPr>
                <w:rFonts w:hint="eastAsia"/>
              </w:rPr>
              <w:t>商业银行保持获利性增长的途径之一</w:t>
            </w:r>
          </w:p>
        </w:tc>
        <w:tc>
          <w:tcPr>
            <w:tcW w:w="1011"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孙红刚</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富滇银行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10</w:t>
            </w:r>
          </w:p>
        </w:tc>
        <w:tc>
          <w:tcPr>
            <w:tcW w:w="52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商业银行信贷资产证券化业务的综合收益研究</w:t>
            </w:r>
          </w:p>
        </w:tc>
        <w:tc>
          <w:tcPr>
            <w:tcW w:w="100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李宁果</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交通银行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11</w:t>
            </w:r>
          </w:p>
        </w:tc>
        <w:tc>
          <w:tcPr>
            <w:tcW w:w="52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PPP在我国面临的挑战及商业银行应对</w:t>
            </w:r>
          </w:p>
        </w:tc>
        <w:tc>
          <w:tcPr>
            <w:tcW w:w="100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蔡浩</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恒丰银行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12</w:t>
            </w:r>
          </w:p>
        </w:tc>
        <w:tc>
          <w:tcPr>
            <w:tcW w:w="52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人民币加入SDR货币篮子与商业银行业务策略</w:t>
            </w:r>
          </w:p>
        </w:tc>
        <w:tc>
          <w:tcPr>
            <w:tcW w:w="100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沈子荣</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中信银行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13</w:t>
            </w:r>
          </w:p>
        </w:tc>
        <w:tc>
          <w:tcPr>
            <w:tcW w:w="52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基于状态空间模型的社会融资方式与经济增长关系研究</w:t>
            </w:r>
          </w:p>
        </w:tc>
        <w:tc>
          <w:tcPr>
            <w:tcW w:w="100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柴用栋</w:t>
            </w:r>
          </w:p>
        </w:tc>
        <w:tc>
          <w:tcPr>
            <w:tcW w:w="20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14</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转型中的政策性银行的效率研究—以国开行为例</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华芸婷</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国家开发银行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15</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我国商业银行不良资产的影响因素及</w:t>
            </w:r>
            <w:r>
              <w:rPr>
                <w:rFonts w:hint="eastAsia"/>
              </w:rPr>
              <w:br w:type="textWrapping"/>
            </w:r>
            <w:r>
              <w:rPr>
                <w:rFonts w:hint="eastAsia"/>
              </w:rPr>
              <w:t>处置思路探究—基于VAR模型的实证研究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朱震</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恒丰银行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16</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金融危机后国内外大型银行经营结构调整比较研究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杨晓龙</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17</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商业银行服务“一带一路”战略研究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孙梅玉</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18</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color w:val="000000"/>
              </w:rPr>
              <w:t>银行零售“网格式营销”</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color w:val="000000"/>
              </w:rPr>
              <w:t>颜新秀</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color w:val="000000"/>
              </w:rPr>
              <w:t>华夏银行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19</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人民币国际化背景下中资商业银行境外筹资研究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蓝天旻</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交通银行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20</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湖北省农信社信贷资产管理研究——以十堰农商行2013-2015年信贷历史数据为样本</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张伟</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湖北省农村信用社联合社</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21</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在线供应链金融影响因素与业务路径分析</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李晓宏</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22</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开发性金融“走出去”的国际地理布局</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倪经纬</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国家开发银行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23</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人民币国际化白皮书--“一带一路”上的人民币</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滕琳惠</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24</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中国消费金融市场发展研究及xx银行消费金融业务发展战略选择</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周丹</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南京银行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25</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中国银行业2015年TOP50公司价值评价报告</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赵奎</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昆仑银行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26</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中国-东盟互联互通基础设施PPP项目投融资模式研究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徐曾兴</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国家开发银行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27</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银行理财产品托管与交易课题研究报告</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管圣义</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中央国债登记结算有限责任公司</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28</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商业银行小微客户营销过程管理平台研究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邱尚启</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中国民生银行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29</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从存贷比取消看银行资产负债管理变革</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杨子毅</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2"/>
                <w:szCs w:val="22"/>
              </w:rPr>
            </w:pPr>
            <w:r>
              <w:rPr>
                <w:rFonts w:hint="eastAsia"/>
                <w:sz w:val="22"/>
                <w:szCs w:val="22"/>
              </w:rPr>
              <w:t>交通银行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30</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全国性股份制商业银行信息安全绩效全视图指标体系研究与实践</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胡灵娟</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上海浦东发展银行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31</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商业银行零售客户交叉销售策略研究-以A银行为例</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王硕</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32</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以知识管理驱动企业智能学习</w:t>
            </w:r>
            <w:r>
              <w:rPr>
                <w:rFonts w:hint="eastAsia"/>
              </w:rPr>
              <w:br w:type="textWrapping"/>
            </w:r>
            <w:r>
              <w:rPr>
                <w:rFonts w:hint="eastAsia"/>
              </w:rPr>
              <w:t>——交通银行网络培训与知识管理有机融合的研究与实践</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周雅梅</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color w:val="000000"/>
              </w:rPr>
              <w:t>交通银行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33</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浙江农信打造社区银行跨界生态系统建设的探索</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苏亦林</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浙江省农村信用社联合社</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34</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中小银行资产负债管理研究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程松彬</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吉林银行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35</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中国第三方理财市场研究报告——主要第三方理财机构的现状，风险和思考</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梅世云</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中央国债登记结算有限责任公司</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36</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关于小微企业融资机制与风险控制机制的创新研究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王姣敏</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37</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金融集团全面风险管理体系建设研究 ——基于X集团的思考</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林冬元</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中国信达资产管理股份有限公司</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38</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商业银行内外部监管检查发现问题整改工作的研究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聂庆石</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39</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某农村商业银行信贷风险防范策略研究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李伟强</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北京农商银行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40</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新常态下商业银行的亲周期行为风险、动因及缓释对策</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韩光聚</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中信银行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41</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PIC分类法在商业银行内部控制中的应用</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王婷</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华夏银行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42</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集团外部欺诈风险管控大数据应用研究与实践</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马旭东</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43</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区块链技术与新一代价值互联网：若隐若现的新金融蓝图联网</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周永林</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44</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互联网金融的内部审计体系研究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刘卫星</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45</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基于新兴技术的银行创新实践研究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薛勇</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46</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借鉴大数据相关关系  提升信贷审批前瞻性</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江明哲</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中国建设银行 </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hint="eastAsia" w:ascii="宋体" w:hAnsi="宋体"/>
                <w:color w:val="000000"/>
                <w:sz w:val="24"/>
              </w:rPr>
              <w:t>47</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网上银行服务质量影响因素研究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蒋伟</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hint="eastAsia" w:ascii="宋体" w:hAnsi="宋体"/>
                <w:color w:val="000000"/>
                <w:sz w:val="24"/>
              </w:rPr>
              <w:t>48</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银行卡大数据视角下居民消费价格指数的观察、分析和预测</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华锦芝</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中国银联股份有限公司</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hint="eastAsia" w:ascii="宋体" w:hAnsi="宋体"/>
                <w:color w:val="000000"/>
                <w:sz w:val="24"/>
              </w:rPr>
              <w:t>49</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数据中心运营成熟度评价体系研究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毛宇星</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hint="eastAsia" w:ascii="宋体" w:hAnsi="宋体"/>
                <w:color w:val="000000"/>
                <w:sz w:val="24"/>
              </w:rPr>
              <w:t>50</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经济新常态下金融资产管理公司收购商业银行不良贷款方式探析</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高炜</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中国长城资产管理公司</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hint="eastAsia" w:ascii="宋体" w:hAnsi="宋体"/>
                <w:color w:val="000000"/>
                <w:sz w:val="24"/>
              </w:rPr>
              <w:t>51</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用户视角下应用分析方法 ---- 新一代核心系统建设转型目标实践</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李骁</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中国建设银行 </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hint="eastAsia" w:ascii="宋体" w:hAnsi="宋体"/>
                <w:color w:val="000000"/>
                <w:sz w:val="24"/>
              </w:rPr>
              <w:t>52</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关于网点转型问题研究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许海</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hint="eastAsia" w:ascii="宋体" w:hAnsi="宋体"/>
                <w:color w:val="000000"/>
                <w:sz w:val="24"/>
              </w:rPr>
              <w:t>53</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银行“营改增”研究：税负、管理影响与实施策略</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曹蔚虹</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中国建设银行 </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hint="eastAsia" w:ascii="宋体" w:hAnsi="宋体"/>
                <w:color w:val="000000"/>
                <w:sz w:val="24"/>
              </w:rPr>
              <w:t>54</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工商银行新疆分行营改增应对策略初探</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袁萍</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hint="eastAsia" w:ascii="宋体" w:hAnsi="宋体"/>
                <w:color w:val="000000"/>
                <w:sz w:val="24"/>
              </w:rPr>
              <w:t>55</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汇率市场化对商业银行的影响及应对</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王婕</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5</w:t>
            </w:r>
            <w:r>
              <w:rPr>
                <w:rFonts w:hint="eastAsia" w:ascii="宋体" w:hAnsi="宋体"/>
                <w:color w:val="000000"/>
                <w:sz w:val="24"/>
              </w:rPr>
              <w:t>6</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农行上海区域战略发展研究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李运</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5</w:t>
            </w:r>
            <w:r>
              <w:rPr>
                <w:rFonts w:hint="eastAsia" w:ascii="宋体" w:hAnsi="宋体"/>
                <w:color w:val="000000"/>
                <w:sz w:val="24"/>
              </w:rPr>
              <w:t>7</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新疆分行县支行目标市场定位及竞争力提升研究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陈航</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5</w:t>
            </w:r>
            <w:r>
              <w:rPr>
                <w:rFonts w:hint="eastAsia" w:ascii="宋体" w:hAnsi="宋体"/>
                <w:color w:val="000000"/>
                <w:sz w:val="24"/>
              </w:rPr>
              <w:t>8</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新《民事诉讼法》解释对商业银行的十三项影响</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陈良</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 xml:space="preserve">中国工商银行 </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ascii="宋体" w:hAnsi="宋体"/>
                <w:color w:val="000000"/>
                <w:sz w:val="24"/>
              </w:rPr>
              <w:t>5</w:t>
            </w:r>
            <w:r>
              <w:rPr>
                <w:rFonts w:hint="eastAsia" w:ascii="宋体" w:hAnsi="宋体"/>
                <w:color w:val="000000"/>
                <w:sz w:val="24"/>
              </w:rPr>
              <w:t>9</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发达地区县域“三农”金融服务创新问题研究——以浙江区域为例</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冯建龙</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中国农业银行</w:t>
            </w:r>
          </w:p>
        </w:tc>
      </w:tr>
      <w:tr>
        <w:tblPrEx>
          <w:tblLayout w:type="fixed"/>
          <w:tblCellMar>
            <w:top w:w="0" w:type="dxa"/>
            <w:left w:w="15" w:type="dxa"/>
            <w:bottom w:w="0" w:type="dxa"/>
            <w:right w:w="15" w:type="dxa"/>
          </w:tblCellMar>
        </w:tblPrEx>
        <w:trPr>
          <w:trHeight w:val="69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olor w:val="000000"/>
                <w:sz w:val="24"/>
              </w:rPr>
            </w:pPr>
            <w:r>
              <w:rPr>
                <w:rFonts w:hint="eastAsia" w:ascii="宋体" w:hAnsi="宋体"/>
                <w:color w:val="000000"/>
                <w:sz w:val="24"/>
              </w:rPr>
              <w:t>60</w:t>
            </w:r>
          </w:p>
        </w:tc>
        <w:tc>
          <w:tcPr>
            <w:tcW w:w="524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我国宏观经济先行指数构建研究</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王小娥</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4"/>
              </w:rPr>
            </w:pPr>
            <w:r>
              <w:rPr>
                <w:rFonts w:hint="eastAsia"/>
              </w:rPr>
              <w:t>中国工商银行</w:t>
            </w:r>
          </w:p>
        </w:tc>
      </w:tr>
    </w:tbl>
    <w:p>
      <w:pPr>
        <w:rPr>
          <w:rFonts w:hint="eastAsia" w:ascii="黑体" w:hAnsi="黑体" w:eastAsia="黑体" w:cs="黑体"/>
          <w:sz w:val="32"/>
          <w:szCs w:val="32"/>
        </w:rPr>
      </w:pP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p>
    <w:p>
      <w:pPr>
        <w:jc w:val="center"/>
        <w:rPr>
          <w:rFonts w:hint="eastAsia" w:ascii="黑体" w:hAnsi="黑体" w:eastAsia="黑体" w:cs="黑体"/>
          <w:sz w:val="36"/>
          <w:szCs w:val="36"/>
        </w:rPr>
      </w:pPr>
    </w:p>
    <w:p>
      <w:pPr>
        <w:jc w:val="center"/>
        <w:rPr>
          <w:rFonts w:hint="eastAsia" w:ascii="黑体" w:hAnsi="黑体" w:eastAsia="黑体" w:cs="黑体"/>
          <w:sz w:val="36"/>
          <w:szCs w:val="36"/>
        </w:rPr>
      </w:pPr>
    </w:p>
    <w:p>
      <w:pPr>
        <w:jc w:val="center"/>
        <w:rPr>
          <w:rFonts w:hint="eastAsia" w:ascii="黑体" w:hAnsi="黑体" w:eastAsia="黑体" w:cs="黑体"/>
          <w:sz w:val="36"/>
          <w:szCs w:val="36"/>
        </w:rPr>
      </w:pPr>
    </w:p>
    <w:p>
      <w:pPr>
        <w:jc w:val="center"/>
        <w:rPr>
          <w:rFonts w:hint="eastAsia" w:ascii="黑体" w:hAnsi="黑体" w:eastAsia="黑体" w:cs="黑体"/>
          <w:sz w:val="36"/>
          <w:szCs w:val="36"/>
        </w:rPr>
      </w:pPr>
    </w:p>
    <w:p>
      <w:pPr>
        <w:jc w:val="center"/>
        <w:rPr>
          <w:rFonts w:hint="eastAsia" w:ascii="黑体" w:hAnsi="黑体" w:eastAsia="黑体" w:cs="黑体"/>
          <w:sz w:val="36"/>
          <w:szCs w:val="36"/>
        </w:rPr>
      </w:pPr>
    </w:p>
    <w:p>
      <w:pPr>
        <w:jc w:val="center"/>
        <w:rPr>
          <w:rFonts w:hint="eastAsia" w:ascii="黑体" w:hAnsi="黑体" w:eastAsia="黑体" w:cs="黑体"/>
          <w:sz w:val="36"/>
          <w:szCs w:val="36"/>
        </w:rPr>
      </w:pPr>
    </w:p>
    <w:p>
      <w:pPr>
        <w:jc w:val="center"/>
        <w:rPr>
          <w:rFonts w:hint="eastAsia" w:ascii="黑体" w:hAnsi="黑体" w:eastAsia="黑体" w:cs="黑体"/>
          <w:sz w:val="36"/>
          <w:szCs w:val="36"/>
        </w:rPr>
      </w:pPr>
    </w:p>
    <w:p>
      <w:pPr>
        <w:jc w:val="center"/>
        <w:rPr>
          <w:rFonts w:hint="eastAsia" w:ascii="黑体" w:hAnsi="黑体" w:eastAsia="黑体" w:cs="黑体"/>
          <w:sz w:val="36"/>
          <w:szCs w:val="36"/>
        </w:rPr>
      </w:pPr>
    </w:p>
    <w:p>
      <w:pPr>
        <w:jc w:val="center"/>
        <w:rPr>
          <w:rFonts w:hint="eastAsia" w:ascii="黑体" w:hAnsi="黑体" w:eastAsia="黑体" w:cs="黑体"/>
          <w:sz w:val="36"/>
          <w:szCs w:val="36"/>
        </w:rPr>
      </w:pPr>
    </w:p>
    <w:p>
      <w:pPr>
        <w:jc w:val="center"/>
        <w:rPr>
          <w:rFonts w:hint="eastAsia" w:ascii="黑体" w:hAnsi="黑体" w:eastAsia="黑体" w:cs="黑体"/>
          <w:sz w:val="36"/>
          <w:szCs w:val="36"/>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decorative"/>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B332B2"/>
    <w:rsid w:val="64B332B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2016-06-28T02:17:00Z</dcterms:created>
  <dc:creator>dell</dc:creator>
  <cp:lastModifiedBy>dell</cp:lastModifiedBy>
  <dcterms:modified xsi:type="dcterms:W3CDTF">2016-06-28T02:17:48Z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