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宋体" w:hAnsi="宋体" w:cs="黑体"/>
          <w:sz w:val="36"/>
          <w:szCs w:val="36"/>
        </w:rPr>
        <w:t>附件2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中国银行业发展研究优秀成果评选（2016）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组织奖获奖名单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zh-CN"/>
        </w:rPr>
        <w:t>中国工商银行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zh-CN"/>
        </w:rPr>
        <w:t>中国建设银行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zh-CN"/>
        </w:rPr>
        <w:t>中国农业银行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zh-CN"/>
        </w:rPr>
        <w:t>中国银行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zh-CN"/>
        </w:rPr>
        <w:t>交通银行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zh-CN"/>
        </w:rPr>
        <w:t>中国邮政储蓄银行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zh-CN"/>
        </w:rPr>
        <w:t>国家开发银行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zh-CN"/>
        </w:rPr>
        <w:t>恒丰银行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zh-CN"/>
        </w:rPr>
        <w:t>浙商银行</w:t>
      </w:r>
    </w:p>
    <w:p>
      <w:pPr>
        <w:adjustRightInd w:val="0"/>
        <w:snapToGrid w:val="0"/>
        <w:spacing w:line="360" w:lineRule="auto"/>
        <w:jc w:val="center"/>
        <w:rPr>
          <w:rFonts w:ascii="仿宋_GB2312" w:hAnsi="仿宋_GB2312" w:eastAsia="仿宋_GB2312" w:cs="仿宋_GB2312"/>
          <w:color w:val="00000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zh-CN"/>
        </w:rPr>
        <w:t>中国民生银行</w:t>
      </w:r>
    </w:p>
    <w:p>
      <w:pPr>
        <w:ind w:firstLine="600" w:firstLineChars="2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1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Or2grUBAABT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8uszhCxoaSHSGlpfBPGnDn5kZyZ9KjB5S/RYRQn&#10;nU9XbdWYmMyP1qv1uqaQpNh8IZzq6XkETG9VcCwbLQcaXtFUHN9juqTOKbmaD/fGWvKLxno2tPzV&#10;zeqmPLhGCNx6qpFJXJrNVhp348RgF7oTERtoAVruaUM5s+886Zt3ZTZgNnazcYhg9n1Zplwe4+tD&#10;om5Kk7nCBXYqTJMrNKcty6vx+71kPf0L2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OqXm5zwAA&#10;AAUBAAAPAAAAAAAAAAEAIAAAACIAAABkcnMvZG93bnJldi54bWxQSwECFAAUAAAACACHTuJAMOr2&#10;grUBAABTAwAADgAAAAAAAAABACAAAAAeAQAAZHJzL2Uyb0RvYy54bWxQSwUGAAAAAAYABgBZAQAA&#10;RQUAAAAA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E2E6F"/>
    <w:rsid w:val="68CE2E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2016-06-28T02:17:00Z</dcterms:created>
  <dc:creator>dell</dc:creator>
  <cp:lastModifiedBy>dell</cp:lastModifiedBy>
  <dcterms:modified xsi:type="dcterms:W3CDTF">2016-06-28T02:17:59Z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