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ascii="黑体" w:hAnsi="黑体" w:eastAsia="黑体"/>
          <w:sz w:val="32"/>
          <w:szCs w:val="32"/>
        </w:rPr>
        <w:t>: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第二届财富管理征文大赛分配数额</w:t>
      </w:r>
    </w:p>
    <w:p>
      <w:pPr>
        <w:jc w:val="center"/>
        <w:rPr>
          <w:rFonts w:hint="eastAsia"/>
          <w:b/>
          <w:sz w:val="36"/>
          <w:szCs w:val="36"/>
        </w:rPr>
      </w:pPr>
    </w:p>
    <w:tbl>
      <w:tblPr>
        <w:tblStyle w:val="3"/>
        <w:tblW w:w="79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0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机构类别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政策性银行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国有大型商业银行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股份制商业银行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邮政储蓄银行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城市商业银行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农村合作金融机构（省级）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外资银行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3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民营银行</w:t>
            </w:r>
          </w:p>
        </w:tc>
        <w:tc>
          <w:tcPr>
            <w:tcW w:w="315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5</w:t>
            </w:r>
          </w:p>
        </w:tc>
      </w:tr>
    </w:tbl>
    <w:p>
      <w:pPr>
        <w:tabs>
          <w:tab w:val="left" w:pos="6840"/>
        </w:tabs>
        <w:snapToGrid w:val="0"/>
        <w:spacing w:line="360" w:lineRule="exact"/>
        <w:ind w:firstLine="900" w:firstLineChars="300"/>
        <w:rPr>
          <w:rFonts w:ascii="仿宋_GB2312" w:eastAsia="仿宋_GB2312"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C70B5"/>
    <w:rsid w:val="586C70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2017-02-20T06:01:00Z</dcterms:created>
  <dc:creator>d</dc:creator>
  <cp:lastModifiedBy>d</cp:lastModifiedBy>
  <dcterms:modified xsi:type="dcterms:W3CDTF">2017-02-20T06:01:41Z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