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_GB2312" w:hAnsi="仿宋" w:eastAsia="仿宋_GB2312"/>
          <w:sz w:val="32"/>
          <w:szCs w:val="32"/>
        </w:rPr>
      </w:pPr>
      <w:r>
        <w:rPr>
          <w:rFonts w:hint="eastAsia" w:ascii="仿宋_GB2312" w:hAnsi="仿宋" w:eastAsia="仿宋_GB2312"/>
          <w:sz w:val="32"/>
          <w:szCs w:val="32"/>
        </w:rPr>
        <w:t>附件2</w:t>
      </w:r>
    </w:p>
    <w:p>
      <w:pPr>
        <w:jc w:val="center"/>
        <w:rPr>
          <w:rFonts w:ascii="宋体" w:hAnsi="宋体"/>
          <w:b/>
          <w:sz w:val="36"/>
          <w:szCs w:val="36"/>
        </w:rPr>
      </w:pPr>
      <w:r>
        <w:rPr>
          <w:rFonts w:hint="eastAsia" w:ascii="宋体" w:hAnsi="宋体"/>
          <w:b/>
          <w:sz w:val="36"/>
          <w:szCs w:val="36"/>
        </w:rPr>
        <w:t>调查问卷填写人员和数量建议</w:t>
      </w:r>
    </w:p>
    <w:p>
      <w:pPr>
        <w:rPr>
          <w:rFonts w:ascii="仿宋" w:hAnsi="仿宋" w:eastAsia="仿宋"/>
          <w:sz w:val="30"/>
          <w:szCs w:val="30"/>
        </w:rPr>
      </w:pPr>
    </w:p>
    <w:p>
      <w:pPr>
        <w:ind w:firstLine="960" w:firstLineChars="300"/>
        <w:rPr>
          <w:rFonts w:ascii="黑体" w:hAnsi="黑体" w:eastAsia="黑体"/>
          <w:sz w:val="32"/>
          <w:szCs w:val="32"/>
        </w:rPr>
      </w:pPr>
      <w:r>
        <w:rPr>
          <w:rFonts w:hint="eastAsia" w:ascii="黑体" w:hAnsi="黑体" w:eastAsia="黑体"/>
          <w:sz w:val="32"/>
          <w:szCs w:val="32"/>
        </w:rPr>
        <w:t>一、总问卷</w:t>
      </w:r>
    </w:p>
    <w:p>
      <w:pPr>
        <w:ind w:firstLine="643" w:firstLineChars="200"/>
        <w:rPr>
          <w:rFonts w:ascii="仿宋_GB2312" w:hAnsi="仿宋" w:eastAsia="仿宋_GB2312"/>
          <w:b/>
          <w:sz w:val="32"/>
          <w:szCs w:val="32"/>
        </w:rPr>
      </w:pPr>
      <w:r>
        <w:rPr>
          <w:rFonts w:hint="eastAsia" w:ascii="仿宋_GB2312" w:hAnsi="仿宋" w:eastAsia="仿宋_GB2312"/>
          <w:b/>
          <w:sz w:val="32"/>
          <w:szCs w:val="32"/>
        </w:rPr>
        <w:t>（一）受访银行家范围</w:t>
      </w:r>
    </w:p>
    <w:p>
      <w:pPr>
        <w:ind w:left="298" w:leftChars="142" w:firstLine="640" w:firstLineChars="200"/>
        <w:rPr>
          <w:rFonts w:ascii="仿宋_GB2312" w:hAnsi="仿宋" w:eastAsia="仿宋_GB2312"/>
          <w:sz w:val="32"/>
          <w:szCs w:val="32"/>
        </w:rPr>
      </w:pPr>
      <w:r>
        <w:rPr>
          <w:rFonts w:hint="eastAsia" w:ascii="仿宋_GB2312" w:hAnsi="仿宋" w:eastAsia="仿宋_GB2312"/>
          <w:sz w:val="32"/>
          <w:szCs w:val="32"/>
        </w:rPr>
        <w:t>建议由中国银行业金融机构高管以上人员填写，包括总行高管以上人员（副行级以上）和一级分行高管以上人员（副行级以上）。</w:t>
      </w:r>
    </w:p>
    <w:p>
      <w:pPr>
        <w:ind w:firstLine="643" w:firstLineChars="200"/>
        <w:rPr>
          <w:rFonts w:ascii="仿宋_GB2312" w:hAnsi="仿宋" w:eastAsia="仿宋_GB2312"/>
          <w:b/>
          <w:sz w:val="32"/>
          <w:szCs w:val="32"/>
        </w:rPr>
      </w:pPr>
      <w:r>
        <w:rPr>
          <w:rFonts w:hint="eastAsia" w:ascii="仿宋_GB2312" w:hAnsi="仿宋" w:eastAsia="仿宋_GB2312"/>
          <w:b/>
          <w:sz w:val="32"/>
          <w:szCs w:val="32"/>
        </w:rPr>
        <w:t>（二）数量建议</w:t>
      </w:r>
    </w:p>
    <w:p>
      <w:pPr>
        <w:ind w:left="298" w:leftChars="142" w:firstLine="640" w:firstLineChars="200"/>
        <w:rPr>
          <w:rFonts w:ascii="仿宋_GB2312" w:hAnsi="仿宋" w:eastAsia="仿宋_GB2312"/>
          <w:sz w:val="32"/>
          <w:szCs w:val="32"/>
        </w:rPr>
      </w:pPr>
      <w:r>
        <w:rPr>
          <w:rFonts w:hint="eastAsia" w:ascii="仿宋_GB2312" w:hAnsi="仿宋" w:eastAsia="仿宋_GB2312"/>
          <w:sz w:val="32"/>
          <w:szCs w:val="32"/>
        </w:rPr>
        <w:t>根据题目数量，总体问卷大约需花费45-60分钟，请各会员单位协调本行高管填写，建议政策性商业银行填写20份，大型商业银行及中国邮政储蓄银行60份，股份制商业银行40份，城市商业银行20份，农村金融机构、外资银行各10份。</w:t>
      </w:r>
    </w:p>
    <w:p>
      <w:pPr>
        <w:ind w:firstLine="960" w:firstLineChars="300"/>
        <w:rPr>
          <w:rFonts w:ascii="黑体" w:hAnsi="黑体" w:eastAsia="黑体"/>
          <w:sz w:val="32"/>
          <w:szCs w:val="32"/>
        </w:rPr>
      </w:pPr>
      <w:r>
        <w:rPr>
          <w:rFonts w:hint="eastAsia" w:ascii="黑体" w:hAnsi="黑体" w:eastAsia="黑体"/>
          <w:sz w:val="32"/>
          <w:szCs w:val="32"/>
        </w:rPr>
        <w:t>二、专题问卷</w:t>
      </w:r>
    </w:p>
    <w:p>
      <w:pPr>
        <w:ind w:firstLine="643" w:firstLineChars="200"/>
        <w:rPr>
          <w:rFonts w:ascii="仿宋_GB2312" w:hAnsi="仿宋" w:eastAsia="仿宋_GB2312"/>
          <w:b/>
          <w:sz w:val="32"/>
          <w:szCs w:val="32"/>
        </w:rPr>
      </w:pPr>
      <w:r>
        <w:rPr>
          <w:rFonts w:hint="eastAsia" w:ascii="仿宋_GB2312" w:hAnsi="仿宋" w:eastAsia="仿宋_GB2312"/>
          <w:b/>
          <w:sz w:val="32"/>
          <w:szCs w:val="32"/>
        </w:rPr>
        <w:t>（一）受访银行家范围</w:t>
      </w:r>
    </w:p>
    <w:p>
      <w:pPr>
        <w:ind w:firstLine="633" w:firstLineChars="198"/>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六个专题问卷建议由总行相关部门分管行领导及相关部门负责人（副总经理级以上）填写。具体发放部门如下：</w:t>
      </w:r>
    </w:p>
    <w:p>
      <w:pPr>
        <w:ind w:firstLine="636" w:firstLineChars="198"/>
        <w:rPr>
          <w:rFonts w:ascii="仿宋_GB2312" w:hAnsi="仿宋" w:eastAsia="仿宋_GB2312"/>
          <w:sz w:val="32"/>
          <w:szCs w:val="32"/>
        </w:rPr>
      </w:pPr>
      <w:r>
        <w:rPr>
          <w:rFonts w:hint="eastAsia" w:ascii="仿宋_GB2312" w:hAnsi="仿宋" w:eastAsia="仿宋_GB2312"/>
          <w:b/>
          <w:sz w:val="32"/>
          <w:szCs w:val="32"/>
        </w:rPr>
        <w:t>MPA（宏观审慎评估体系）专题问卷：</w:t>
      </w:r>
      <w:r>
        <w:rPr>
          <w:rFonts w:hint="eastAsia" w:ascii="仿宋_GB2312" w:hAnsi="仿宋" w:eastAsia="仿宋_GB2312"/>
          <w:sz w:val="32"/>
          <w:szCs w:val="32"/>
        </w:rPr>
        <w:t>分管战略发展部、研究发展部、资产负债管理部、风险管理部、信贷管理部、财务管理部（或计财部）等相关部门行领导及上述部门副总经理以上级别的高管填写。</w:t>
      </w:r>
    </w:p>
    <w:p>
      <w:pPr>
        <w:ind w:firstLine="636" w:firstLineChars="198"/>
        <w:rPr>
          <w:rFonts w:ascii="仿宋_GB2312" w:hAnsi="仿宋" w:eastAsia="仿宋_GB2312"/>
          <w:sz w:val="32"/>
          <w:szCs w:val="32"/>
        </w:rPr>
      </w:pPr>
      <w:r>
        <w:rPr>
          <w:rFonts w:hint="eastAsia" w:ascii="仿宋_GB2312" w:hAnsi="仿宋" w:eastAsia="仿宋_GB2312"/>
          <w:b/>
          <w:sz w:val="32"/>
          <w:szCs w:val="32"/>
        </w:rPr>
        <w:t>雄安新区专题问卷：</w:t>
      </w:r>
      <w:r>
        <w:rPr>
          <w:rFonts w:hint="eastAsia" w:ascii="仿宋_GB2312" w:hAnsi="仿宋" w:eastAsia="仿宋_GB2312"/>
          <w:sz w:val="32"/>
          <w:szCs w:val="32"/>
        </w:rPr>
        <w:t>分管战略发展部、研究部、信贷管理部、公司业务部等相关部门行领导及上述部门副总经理以上级别的高管填写。</w:t>
      </w:r>
    </w:p>
    <w:p>
      <w:pPr>
        <w:ind w:firstLine="636" w:firstLineChars="198"/>
        <w:rPr>
          <w:rFonts w:ascii="仿宋_GB2312" w:hAnsi="仿宋" w:eastAsia="仿宋_GB2312"/>
          <w:sz w:val="32"/>
          <w:szCs w:val="32"/>
        </w:rPr>
      </w:pPr>
      <w:r>
        <w:rPr>
          <w:rFonts w:hint="eastAsia" w:ascii="仿宋_GB2312" w:hAnsi="仿宋" w:eastAsia="仿宋_GB2312"/>
          <w:b/>
          <w:color w:val="000000" w:themeColor="text1"/>
          <w:sz w:val="32"/>
          <w:szCs w:val="32"/>
          <w14:textFill>
            <w14:solidFill>
              <w14:schemeClr w14:val="tx1"/>
            </w14:solidFill>
          </w14:textFill>
        </w:rPr>
        <w:t>债转股专题问卷：</w:t>
      </w:r>
      <w:r>
        <w:rPr>
          <w:rFonts w:hint="eastAsia" w:ascii="仿宋_GB2312" w:hAnsi="仿宋" w:eastAsia="仿宋_GB2312"/>
          <w:sz w:val="32"/>
          <w:szCs w:val="32"/>
        </w:rPr>
        <w:t>分管公司业务部、资产负债部、投资银行部、资产管理部、风险管理部、授信管理部、信贷审批部等相关部门行领导及上述部门副总经理以上级别的高管填写。</w:t>
      </w:r>
    </w:p>
    <w:p>
      <w:pPr>
        <w:widowControl/>
        <w:spacing w:line="238" w:lineRule="atLeast"/>
        <w:ind w:firstLine="596"/>
        <w:jc w:val="left"/>
        <w:rPr>
          <w:rFonts w:ascii="仿宋_GB2312" w:hAnsi="仿宋" w:eastAsia="仿宋_GB2312"/>
          <w:b/>
          <w:sz w:val="32"/>
          <w:szCs w:val="32"/>
        </w:rPr>
      </w:pPr>
      <w:r>
        <w:rPr>
          <w:rFonts w:hint="eastAsia" w:ascii="仿宋_GB2312" w:hAnsi="仿宋" w:eastAsia="仿宋_GB2312"/>
          <w:b/>
          <w:sz w:val="32"/>
          <w:szCs w:val="32"/>
        </w:rPr>
        <w:t>IFRS 9（《国际财务报告准则第9号-金融工具》）专题问卷：</w:t>
      </w:r>
      <w:r>
        <w:rPr>
          <w:rFonts w:hint="eastAsia" w:ascii="仿宋_GB2312" w:hAnsi="仿宋" w:eastAsia="仿宋_GB2312"/>
          <w:sz w:val="32"/>
          <w:szCs w:val="32"/>
        </w:rPr>
        <w:t>分管财务管理部、风险管理部、计划财务部等相关部门行领导及上述部门副总经理以上级别的高管填写。</w:t>
      </w:r>
    </w:p>
    <w:p>
      <w:pPr>
        <w:widowControl/>
        <w:spacing w:line="238" w:lineRule="atLeast"/>
        <w:ind w:firstLine="596"/>
        <w:jc w:val="left"/>
        <w:rPr>
          <w:rFonts w:ascii="仿宋_GB2312" w:hAnsi="Arial" w:eastAsia="仿宋_GB2312" w:cs="Arial"/>
          <w:color w:val="000000"/>
          <w:kern w:val="0"/>
          <w:sz w:val="32"/>
          <w:szCs w:val="32"/>
        </w:rPr>
      </w:pPr>
      <w:r>
        <w:rPr>
          <w:rFonts w:hint="eastAsia" w:ascii="仿宋_GB2312" w:hAnsi="仿宋" w:eastAsia="仿宋_GB2312"/>
          <w:b/>
          <w:sz w:val="32"/>
          <w:szCs w:val="32"/>
        </w:rPr>
        <w:t>金融科技专题问卷：</w:t>
      </w:r>
      <w:r>
        <w:rPr>
          <w:rFonts w:hint="eastAsia" w:ascii="仿宋_GB2312" w:hAnsi="仿宋" w:eastAsia="仿宋_GB2312"/>
          <w:sz w:val="32"/>
          <w:szCs w:val="32"/>
        </w:rPr>
        <w:t>分管投资银行部、信息科技部、公司业务部、中小企业部等相关部门行领导及上述部门副总经理以上级别的高管填写。</w:t>
      </w:r>
    </w:p>
    <w:p>
      <w:pPr>
        <w:widowControl/>
        <w:spacing w:line="238" w:lineRule="atLeast"/>
        <w:ind w:firstLine="596"/>
        <w:jc w:val="left"/>
        <w:rPr>
          <w:rFonts w:ascii="仿宋_GB2312" w:hAnsi="Arial" w:eastAsia="仿宋_GB2312" w:cs="Arial"/>
          <w:color w:val="000000"/>
          <w:kern w:val="0"/>
          <w:sz w:val="32"/>
          <w:szCs w:val="32"/>
        </w:rPr>
      </w:pPr>
      <w:r>
        <w:rPr>
          <w:rFonts w:hint="eastAsia" w:ascii="仿宋_GB2312" w:hAnsi="仿宋" w:eastAsia="仿宋_GB2312"/>
          <w:b/>
          <w:sz w:val="32"/>
          <w:szCs w:val="32"/>
        </w:rPr>
        <w:t>资管业务统一监管专题问卷：</w:t>
      </w:r>
      <w:r>
        <w:rPr>
          <w:rFonts w:hint="eastAsia" w:ascii="仿宋_GB2312" w:hAnsi="仿宋" w:eastAsia="仿宋_GB2312"/>
          <w:sz w:val="32"/>
          <w:szCs w:val="32"/>
        </w:rPr>
        <w:t>分管资产管理部、战略发展部、研究发展部等相关部门行领导及上述部门副总经理以上级别的高管填写。</w:t>
      </w:r>
    </w:p>
    <w:p>
      <w:pPr>
        <w:ind w:firstLine="318" w:firstLineChars="99"/>
        <w:rPr>
          <w:rFonts w:ascii="仿宋_GB2312" w:hAnsi="仿宋" w:eastAsia="仿宋_GB2312"/>
          <w:b/>
          <w:sz w:val="32"/>
          <w:szCs w:val="32"/>
        </w:rPr>
      </w:pPr>
      <w:r>
        <w:rPr>
          <w:rFonts w:hint="eastAsia" w:ascii="仿宋_GB2312" w:hAnsi="仿宋" w:eastAsia="仿宋_GB2312"/>
          <w:b/>
          <w:sz w:val="32"/>
          <w:szCs w:val="32"/>
        </w:rPr>
        <w:t>（二）数量建议</w:t>
      </w:r>
    </w:p>
    <w:p>
      <w:pPr>
        <w:ind w:firstLine="640" w:firstLineChars="200"/>
        <w:rPr>
          <w:rFonts w:ascii="仿宋_GB2312" w:hAnsi="仿宋" w:eastAsia="仿宋_GB2312"/>
          <w:sz w:val="32"/>
          <w:szCs w:val="32"/>
        </w:rPr>
      </w:pPr>
      <w:r>
        <w:rPr>
          <w:rFonts w:hint="eastAsia" w:ascii="仿宋_GB2312" w:hAnsi="仿宋" w:eastAsia="仿宋_GB2312"/>
          <w:sz w:val="32"/>
          <w:szCs w:val="32"/>
        </w:rPr>
        <w:t>根据题目数量，六个专题问卷大约需花费5-10分钟，请各会员单位协调本行高管填写，建议每个专题问卷政策性商业银行填写10份，大型商业银行及中国邮政储蓄银行30份，股份制商业银行20份，城市商业银行10份，农村金融</w:t>
      </w:r>
    </w:p>
    <w:p>
      <w:pPr>
        <w:rPr>
          <w:rFonts w:ascii="仿宋_GB2312" w:hAnsi="仿宋" w:eastAsia="仿宋_GB2312"/>
          <w:sz w:val="32"/>
          <w:szCs w:val="32"/>
        </w:rPr>
      </w:pPr>
    </w:p>
    <w:p>
      <w:pPr>
        <w:rPr>
          <w:rFonts w:ascii="仿宋_GB2312" w:hAnsi="仿宋" w:eastAsia="仿宋_GB2312"/>
          <w:sz w:val="32"/>
          <w:szCs w:val="32"/>
        </w:rPr>
      </w:pPr>
      <w:r>
        <w:rPr>
          <w:rFonts w:hint="eastAsia" w:ascii="仿宋_GB2312" w:hAnsi="仿宋" w:eastAsia="仿宋_GB2312"/>
          <w:sz w:val="32"/>
          <w:szCs w:val="32"/>
        </w:rPr>
        <w:t>机构、外资银行各5份。</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4534DE"/>
    <w:rsid w:val="644534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GB"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2017-08-08T01:27:00Z</dcterms:created>
  <dc:creator>d</dc:creator>
  <cp:lastModifiedBy>d</cp:lastModifiedBy>
  <dcterms:modified xsi:type="dcterms:W3CDTF">2017-08-08T01:27:39Z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