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ascii="仿宋" w:hAnsi="仿宋" w:eastAsia="仿宋" w:cs="仿宋"/>
          <w:sz w:val="32"/>
          <w:szCs w:val="32"/>
        </w:rPr>
      </w:pP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附件2：</w:t>
      </w:r>
    </w:p>
    <w:p>
      <w:pPr>
        <w:spacing w:line="300" w:lineRule="auto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中国金融出版社图书线上征订说明</w:t>
      </w:r>
    </w:p>
    <w:p>
      <w:pPr>
        <w:spacing w:line="300" w:lineRule="auto"/>
        <w:jc w:val="center"/>
        <w:rPr>
          <w:rFonts w:ascii="宋体" w:hAnsi="宋体" w:cs="宋体"/>
          <w:b/>
          <w:bCs/>
          <w:sz w:val="36"/>
          <w:szCs w:val="36"/>
        </w:rPr>
      </w:pPr>
    </w:p>
    <w:p>
      <w:pPr>
        <w:spacing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请登录</w:t>
      </w:r>
      <w:r>
        <w:rPr>
          <w:rFonts w:hint="eastAsia" w:ascii="仿宋_GB2312" w:hAnsi="仿宋" w:eastAsia="仿宋_GB2312" w:cs="仿宋"/>
          <w:sz w:val="32"/>
          <w:szCs w:val="32"/>
        </w:rPr>
        <w:fldChar w:fldCharType="begin"/>
      </w:r>
      <w:r>
        <w:rPr>
          <w:rFonts w:hint="eastAsia" w:ascii="仿宋_GB2312" w:hAnsi="仿宋" w:eastAsia="仿宋_GB2312" w:cs="仿宋"/>
          <w:sz w:val="32"/>
          <w:szCs w:val="32"/>
        </w:rPr>
        <w:instrText xml:space="preserve"> HYPERLINK "http://go.chinafph.com"</w:instrText>
      </w:r>
      <w:r>
        <w:rPr>
          <w:rFonts w:hint="eastAsia" w:ascii="仿宋_GB2312" w:hAnsi="仿宋" w:eastAsia="仿宋_GB2312" w:cs="仿宋"/>
          <w:sz w:val="32"/>
          <w:szCs w:val="32"/>
        </w:rPr>
        <w:fldChar w:fldCharType="separate"/>
      </w:r>
      <w:r>
        <w:rPr>
          <w:rStyle w:val="3"/>
          <w:rFonts w:hint="eastAsia" w:ascii="仿宋_GB2312" w:hAnsi="仿宋" w:eastAsia="仿宋_GB2312" w:cs="仿宋"/>
          <w:sz w:val="32"/>
          <w:szCs w:val="32"/>
        </w:rPr>
        <w:t>http://go.cfph.com</w:t>
      </w:r>
      <w:r>
        <w:rPr>
          <w:rFonts w:hint="eastAsia" w:ascii="仿宋_GB2312" w:hAnsi="仿宋" w:eastAsia="仿宋_GB2312" w:cs="仿宋"/>
          <w:sz w:val="32"/>
          <w:szCs w:val="32"/>
        </w:rPr>
        <w:fldChar w:fldCharType="end"/>
      </w:r>
      <w:r>
        <w:rPr>
          <w:rFonts w:hint="eastAsia" w:ascii="仿宋_GB2312" w:hAnsi="仿宋" w:eastAsia="仿宋_GB2312" w:cs="仿宋"/>
          <w:sz w:val="32"/>
          <w:szCs w:val="32"/>
        </w:rPr>
        <w:t xml:space="preserve">上传您的订购信息。具体操作如下：在图书列表中点选：“《中国银行业声誉风险管理理论与实务》”，网页打开后，继续点选“订购图书”（蓝色长方块），完整准确地填写您的订购信息，请务必保证信息无误后“提交订单”。           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如需查询您的订单状态，进入所订购书籍的网页，在网页右上方输入完整的单位全称和收件人名称可随时进行查询。关于订单填写、发票、图书运送和签收的详细内容请仔细阅读网页上的订购须知，谢谢合作！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出版社联系人：王倩、刘利群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电话：010-63267340、63863100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1892300</wp:posOffset>
            </wp:positionH>
            <wp:positionV relativeFrom="paragraph">
              <wp:posOffset>381000</wp:posOffset>
            </wp:positionV>
            <wp:extent cx="1866900" cy="1866900"/>
            <wp:effectExtent l="0" t="0" r="0" b="0"/>
            <wp:wrapSquare wrapText="bothSides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" w:eastAsia="仿宋_GB2312" w:cs="仿宋"/>
          <w:sz w:val="32"/>
          <w:szCs w:val="32"/>
        </w:rPr>
        <w:t>购书二维码：</w:t>
      </w:r>
    </w:p>
    <w:p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8728E"/>
    <w:rsid w:val="2ED57FA6"/>
    <w:rsid w:val="442872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2018-01-11T08:52:00Z</dcterms:created>
  <dc:creator>d</dc:creator>
  <cp:lastModifiedBy>d</cp:lastModifiedBy>
  <dcterms:modified xsi:type="dcterms:W3CDTF">2018-01-11T08:53:35Z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